
<file path=[Content_Types].xml><?xml version="1.0" encoding="utf-8"?>
<Types xmlns="http://schemas.openxmlformats.org/package/2006/content-types">
  <Default Extension="bin" ContentType="application/vnd.openxmlformats-officedocument.oleObject"/>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966FBB" w:rsidRDefault="009A0EB3" w:rsidP="009A0EB3">
      <w:pPr>
        <w:spacing w:line="20" w:lineRule="atLeast"/>
        <w:jc w:val="center"/>
        <w:outlineLvl w:val="0"/>
        <w:rPr>
          <w:rFonts w:ascii="Garamond" w:hAnsi="Garamond"/>
          <w:b/>
          <w:color w:val="1F4E79"/>
          <w:sz w:val="144"/>
          <w:szCs w:val="144"/>
        </w:rPr>
      </w:pPr>
      <w:r w:rsidRPr="00966FBB">
        <w:rPr>
          <w:rFonts w:ascii="Garamond" w:hAnsi="Garamond"/>
          <w:b/>
          <w:color w:val="1F4E79"/>
          <w:sz w:val="144"/>
          <w:szCs w:val="144"/>
        </w:rPr>
        <w:t>SEBI</w:t>
      </w:r>
    </w:p>
    <w:p w:rsidR="009A0EB3" w:rsidRPr="00966FBB" w:rsidRDefault="009A0EB3" w:rsidP="009A0EB3">
      <w:pPr>
        <w:spacing w:line="20" w:lineRule="atLeast"/>
        <w:jc w:val="center"/>
        <w:outlineLvl w:val="0"/>
        <w:rPr>
          <w:rFonts w:ascii="Garamond" w:hAnsi="Garamond"/>
          <w:b/>
          <w:color w:val="1F4E79"/>
          <w:sz w:val="56"/>
          <w:szCs w:val="56"/>
        </w:rPr>
      </w:pPr>
      <w:r w:rsidRPr="00966FBB">
        <w:rPr>
          <w:rFonts w:ascii="Garamond" w:hAnsi="Garamond"/>
          <w:b/>
          <w:color w:val="1F4E79"/>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66FBB" w:rsidRDefault="000E77E3" w:rsidP="002C3645">
      <w:pPr>
        <w:spacing w:line="20" w:lineRule="atLeast"/>
        <w:jc w:val="center"/>
        <w:rPr>
          <w:rFonts w:ascii="Garamond" w:hAnsi="Garamond"/>
          <w:b/>
          <w:color w:val="1F4E79"/>
        </w:rPr>
      </w:pPr>
      <w:r w:rsidRPr="00966FBB">
        <w:rPr>
          <w:rFonts w:ascii="Garamond" w:hAnsi="Garamond"/>
          <w:b/>
          <w:color w:val="1F4E79"/>
        </w:rPr>
        <w:t>January</w:t>
      </w:r>
      <w:r w:rsidR="008D1E7F" w:rsidRPr="00966FBB">
        <w:rPr>
          <w:rFonts w:ascii="Garamond" w:hAnsi="Garamond"/>
          <w:b/>
          <w:color w:val="1F4E79"/>
        </w:rPr>
        <w:t xml:space="preserve"> </w:t>
      </w:r>
      <w:r w:rsidR="00074803" w:rsidRPr="00966FBB">
        <w:rPr>
          <w:rFonts w:ascii="Garamond" w:hAnsi="Garamond"/>
          <w:b/>
          <w:color w:val="1F4E79"/>
        </w:rPr>
        <w:t>2</w:t>
      </w:r>
      <w:r w:rsidR="009B7E61" w:rsidRPr="00966FBB">
        <w:rPr>
          <w:rFonts w:ascii="Garamond" w:hAnsi="Garamond"/>
          <w:b/>
          <w:color w:val="1F4E79"/>
        </w:rPr>
        <w:t>02</w:t>
      </w:r>
      <w:r w:rsidR="00BF4419" w:rsidRPr="00966FBB">
        <w:rPr>
          <w:rFonts w:ascii="Garamond" w:hAnsi="Garamond"/>
          <w:b/>
          <w:color w:val="1F4E79"/>
        </w:rPr>
        <w:t>2</w:t>
      </w:r>
      <w:r w:rsidR="008E4467" w:rsidRPr="00966FBB">
        <w:rPr>
          <w:rFonts w:ascii="Garamond" w:hAnsi="Garamond"/>
          <w:b/>
          <w:color w:val="1F4E79"/>
        </w:rPr>
        <w:t xml:space="preserve">   VOL. </w:t>
      </w:r>
      <w:r w:rsidRPr="00966FBB">
        <w:rPr>
          <w:rFonts w:ascii="Garamond" w:hAnsi="Garamond"/>
          <w:b/>
          <w:color w:val="1F4E79"/>
        </w:rPr>
        <w:t>20</w:t>
      </w:r>
      <w:r w:rsidR="008E4467" w:rsidRPr="00966FBB">
        <w:rPr>
          <w:rFonts w:ascii="Garamond" w:hAnsi="Garamond"/>
          <w:b/>
          <w:color w:val="1F4E79"/>
        </w:rPr>
        <w:t xml:space="preserve">             </w:t>
      </w:r>
      <w:r w:rsidR="002C3645" w:rsidRPr="00966FBB">
        <w:rPr>
          <w:rFonts w:ascii="Garamond" w:hAnsi="Garamond"/>
          <w:b/>
          <w:color w:val="1F4E79"/>
        </w:rPr>
        <w:t xml:space="preserve"> </w:t>
      </w:r>
      <w:r w:rsidR="00B20597" w:rsidRPr="00966FBB">
        <w:rPr>
          <w:rFonts w:ascii="Garamond" w:hAnsi="Garamond"/>
          <w:b/>
          <w:color w:val="1F4E79"/>
        </w:rPr>
        <w:t xml:space="preserve">NUMBER </w:t>
      </w:r>
      <w:r w:rsidRPr="00966FBB">
        <w:rPr>
          <w:rFonts w:ascii="Garamond" w:hAnsi="Garamond"/>
          <w:b/>
          <w:color w:val="1F4E79"/>
        </w:rPr>
        <w:t>01</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C4512E">
      <w:pPr>
        <w:outlineLvl w:val="0"/>
        <w:rPr>
          <w:rFonts w:ascii="Palatino Linotype" w:hAnsi="Palatino Linotype" w:cs="Helvetica"/>
          <w:b/>
          <w:color w:val="000099"/>
          <w:sz w:val="22"/>
          <w:szCs w:val="22"/>
        </w:rPr>
      </w:pPr>
    </w:p>
    <w:p w:rsidR="00C4512E" w:rsidRDefault="00C4512E" w:rsidP="00C4512E">
      <w:pP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A76333" w:rsidRDefault="00A76333" w:rsidP="00B25DA6">
      <w:pPr>
        <w:jc w:val="center"/>
        <w:outlineLvl w:val="0"/>
        <w:rPr>
          <w:rFonts w:ascii="Palatino Linotype" w:hAnsi="Palatino Linotype" w:cs="Helvetica"/>
          <w:b/>
          <w:color w:val="000099"/>
          <w:sz w:val="22"/>
          <w:szCs w:val="22"/>
        </w:rPr>
      </w:pPr>
    </w:p>
    <w:p w:rsidR="00A76333" w:rsidRDefault="00A76333" w:rsidP="00B25DA6">
      <w:pPr>
        <w:jc w:val="center"/>
        <w:outlineLvl w:val="0"/>
        <w:rPr>
          <w:rFonts w:ascii="Palatino Linotype" w:hAnsi="Palatino Linotype" w:cs="Helvetica"/>
          <w:b/>
          <w:color w:val="000099"/>
          <w:sz w:val="22"/>
          <w:szCs w:val="22"/>
        </w:rPr>
      </w:pPr>
    </w:p>
    <w:p w:rsidR="00A76333" w:rsidRPr="009A0EB3" w:rsidRDefault="00A76333" w:rsidP="00B25DA6">
      <w:pPr>
        <w:jc w:val="center"/>
        <w:outlineLvl w:val="0"/>
        <w:rPr>
          <w:rFonts w:ascii="Palatino Linotype" w:hAnsi="Palatino Linotype" w:cs="Helvetica"/>
          <w:b/>
          <w:color w:val="000099"/>
          <w:sz w:val="22"/>
          <w:szCs w:val="22"/>
        </w:rPr>
      </w:pPr>
    </w:p>
    <w:p w:rsidR="002C3645" w:rsidRPr="00966FBB" w:rsidRDefault="002C3645" w:rsidP="002C3645">
      <w:pPr>
        <w:spacing w:line="20" w:lineRule="atLeast"/>
        <w:jc w:val="center"/>
        <w:rPr>
          <w:rFonts w:ascii="Garamond" w:hAnsi="Garamond"/>
          <w:b/>
          <w:color w:val="1F4E79"/>
          <w:sz w:val="28"/>
          <w:szCs w:val="28"/>
        </w:rPr>
      </w:pPr>
      <w:r w:rsidRPr="00966FBB">
        <w:rPr>
          <w:rFonts w:ascii="Garamond" w:hAnsi="Garamond"/>
          <w:b/>
          <w:color w:val="1F4E79"/>
          <w:sz w:val="28"/>
          <w:szCs w:val="28"/>
        </w:rPr>
        <w:lastRenderedPageBreak/>
        <w:t>SECURITIES AND EXCHANGE BOARD OF INDIA</w:t>
      </w:r>
    </w:p>
    <w:p w:rsidR="002C3645" w:rsidRPr="00C4512E" w:rsidRDefault="002C3645" w:rsidP="002C3645">
      <w:pPr>
        <w:spacing w:line="20" w:lineRule="atLeast"/>
        <w:jc w:val="both"/>
        <w:rPr>
          <w:rFonts w:ascii="Garamond" w:hAnsi="Garamond"/>
          <w:color w:val="FF0000"/>
        </w:rPr>
      </w:pPr>
    </w:p>
    <w:p w:rsidR="009A0EB3" w:rsidRPr="00C4512E" w:rsidRDefault="009A0EB3" w:rsidP="002C3645">
      <w:pPr>
        <w:spacing w:line="20" w:lineRule="atLeast"/>
        <w:rPr>
          <w:rFonts w:ascii="Garamond" w:hAnsi="Garamond"/>
          <w:b/>
        </w:rPr>
      </w:pPr>
    </w:p>
    <w:p w:rsidR="002C3645" w:rsidRPr="00C4512E" w:rsidRDefault="002C3645" w:rsidP="002C3645">
      <w:pPr>
        <w:spacing w:line="20" w:lineRule="atLeast"/>
        <w:rPr>
          <w:rFonts w:ascii="Garamond" w:hAnsi="Garamond"/>
          <w:b/>
        </w:rPr>
      </w:pPr>
      <w:r w:rsidRPr="00C4512E">
        <w:rPr>
          <w:rFonts w:ascii="Garamond" w:hAnsi="Garamond"/>
          <w:b/>
        </w:rPr>
        <w:t xml:space="preserve">EDITORIAL COMMITTEE </w:t>
      </w:r>
      <w:r w:rsidR="009A0EB3" w:rsidRPr="00C4512E">
        <w:rPr>
          <w:rFonts w:ascii="Garamond" w:hAnsi="Garamond"/>
          <w:b/>
        </w:rPr>
        <w:br/>
      </w:r>
    </w:p>
    <w:p w:rsidR="00E4439E" w:rsidRPr="00C4512E" w:rsidRDefault="00E4439E" w:rsidP="002C3645">
      <w:pPr>
        <w:spacing w:line="20" w:lineRule="atLeast"/>
        <w:jc w:val="both"/>
        <w:outlineLvl w:val="0"/>
        <w:rPr>
          <w:rFonts w:ascii="Garamond" w:hAnsi="Garamond"/>
          <w:b/>
        </w:rPr>
      </w:pPr>
      <w:r w:rsidRPr="00C4512E">
        <w:rPr>
          <w:rFonts w:ascii="Garamond" w:eastAsia="Times New Roman" w:hAnsi="Garamond"/>
          <w:b/>
        </w:rPr>
        <w:t>Shri Amarjeet Singh</w:t>
      </w:r>
      <w:r w:rsidRPr="00C4512E">
        <w:rPr>
          <w:rFonts w:ascii="Garamond" w:hAnsi="Garamond"/>
          <w:b/>
        </w:rPr>
        <w:t xml:space="preserve"> </w:t>
      </w:r>
    </w:p>
    <w:p w:rsidR="002C3645" w:rsidRPr="00C4512E" w:rsidRDefault="002C3645" w:rsidP="002C3645">
      <w:pPr>
        <w:spacing w:line="20" w:lineRule="atLeast"/>
        <w:jc w:val="both"/>
        <w:outlineLvl w:val="0"/>
        <w:rPr>
          <w:rFonts w:ascii="Garamond" w:hAnsi="Garamond"/>
          <w:b/>
        </w:rPr>
      </w:pPr>
      <w:r w:rsidRPr="00C4512E">
        <w:rPr>
          <w:rFonts w:ascii="Garamond" w:hAnsi="Garamond"/>
          <w:b/>
        </w:rPr>
        <w:t xml:space="preserve">Dr. </w:t>
      </w:r>
      <w:r w:rsidR="004A4D62" w:rsidRPr="00C4512E">
        <w:rPr>
          <w:rFonts w:ascii="Garamond" w:hAnsi="Garamond"/>
          <w:b/>
        </w:rPr>
        <w:t xml:space="preserve"> </w:t>
      </w:r>
      <w:r w:rsidRPr="00C4512E">
        <w:rPr>
          <w:rFonts w:ascii="Garamond" w:hAnsi="Garamond"/>
          <w:b/>
        </w:rPr>
        <w:t>Prabhakar R. Patil</w:t>
      </w:r>
    </w:p>
    <w:p w:rsidR="00E71481" w:rsidRPr="00C4512E" w:rsidRDefault="00E71481" w:rsidP="002C3645">
      <w:pPr>
        <w:spacing w:line="20" w:lineRule="atLeast"/>
        <w:jc w:val="both"/>
        <w:outlineLvl w:val="0"/>
        <w:rPr>
          <w:rFonts w:ascii="Garamond" w:hAnsi="Garamond"/>
          <w:b/>
        </w:rPr>
      </w:pPr>
      <w:r w:rsidRPr="00C4512E">
        <w:rPr>
          <w:rFonts w:ascii="Garamond" w:hAnsi="Garamond"/>
          <w:b/>
        </w:rPr>
        <w:t>Shri Prabhas Rath</w:t>
      </w:r>
    </w:p>
    <w:p w:rsidR="00012FAA" w:rsidRPr="00C4512E" w:rsidRDefault="00012FAA" w:rsidP="002C3645">
      <w:pPr>
        <w:spacing w:line="20" w:lineRule="atLeast"/>
        <w:jc w:val="both"/>
        <w:outlineLvl w:val="0"/>
        <w:rPr>
          <w:rFonts w:ascii="Garamond" w:hAnsi="Garamond"/>
          <w:b/>
        </w:rPr>
      </w:pPr>
      <w:r w:rsidRPr="00C4512E">
        <w:rPr>
          <w:rFonts w:ascii="Garamond" w:hAnsi="Garamond"/>
          <w:b/>
        </w:rPr>
        <w:t>Ms. Sangeeta Rathod</w:t>
      </w:r>
    </w:p>
    <w:p w:rsidR="002C3645" w:rsidRPr="00C4512E" w:rsidRDefault="002C1128" w:rsidP="002C3645">
      <w:pPr>
        <w:spacing w:line="20" w:lineRule="atLeast"/>
        <w:jc w:val="both"/>
        <w:outlineLvl w:val="0"/>
        <w:rPr>
          <w:rFonts w:ascii="Garamond" w:hAnsi="Garamond"/>
          <w:b/>
        </w:rPr>
      </w:pPr>
      <w:r w:rsidRPr="00C4512E">
        <w:rPr>
          <w:rFonts w:ascii="Garamond" w:hAnsi="Garamond"/>
          <w:b/>
        </w:rPr>
        <w:t>Ms. Deepthi L S</w:t>
      </w:r>
    </w:p>
    <w:p w:rsidR="002C3645" w:rsidRPr="00C4512E" w:rsidRDefault="00FD1851" w:rsidP="002C3645">
      <w:pPr>
        <w:spacing w:line="20" w:lineRule="atLeast"/>
        <w:jc w:val="both"/>
        <w:outlineLvl w:val="0"/>
        <w:rPr>
          <w:rFonts w:ascii="Garamond" w:hAnsi="Garamond"/>
          <w:b/>
        </w:rPr>
      </w:pPr>
      <w:r w:rsidRPr="00C4512E">
        <w:rPr>
          <w:rFonts w:ascii="Garamond" w:hAnsi="Garamond"/>
          <w:b/>
        </w:rPr>
        <w:t>Dr.</w:t>
      </w:r>
      <w:r w:rsidR="002C3645" w:rsidRPr="00C4512E">
        <w:rPr>
          <w:rFonts w:ascii="Garamond" w:hAnsi="Garamond"/>
          <w:b/>
        </w:rPr>
        <w:t xml:space="preserve"> </w:t>
      </w:r>
      <w:r w:rsidRPr="00C4512E">
        <w:rPr>
          <w:rFonts w:ascii="Garamond" w:hAnsi="Garamond"/>
          <w:b/>
        </w:rPr>
        <w:t xml:space="preserve"> Deepali Dixit</w:t>
      </w:r>
    </w:p>
    <w:p w:rsidR="002C3645" w:rsidRPr="00C4512E" w:rsidRDefault="00E71481" w:rsidP="002C3645">
      <w:pPr>
        <w:spacing w:line="20" w:lineRule="atLeast"/>
        <w:jc w:val="both"/>
        <w:outlineLvl w:val="0"/>
        <w:rPr>
          <w:rFonts w:ascii="Garamond" w:hAnsi="Garamond"/>
          <w:b/>
        </w:rPr>
      </w:pPr>
      <w:r w:rsidRPr="00C4512E">
        <w:rPr>
          <w:rFonts w:ascii="Garamond" w:hAnsi="Garamond"/>
          <w:b/>
        </w:rPr>
        <w:t>Shri</w:t>
      </w:r>
      <w:r w:rsidR="002C3645" w:rsidRPr="00C4512E">
        <w:rPr>
          <w:rFonts w:ascii="Garamond" w:hAnsi="Garamond"/>
          <w:b/>
        </w:rPr>
        <w:t xml:space="preserve"> </w:t>
      </w:r>
      <w:r w:rsidR="00FD1851" w:rsidRPr="00C4512E">
        <w:rPr>
          <w:rFonts w:ascii="Garamond" w:hAnsi="Garamond"/>
          <w:b/>
        </w:rPr>
        <w:t>Jitendra Kumar</w:t>
      </w:r>
    </w:p>
    <w:p w:rsidR="002C3645" w:rsidRPr="00C4512E" w:rsidRDefault="002C3645" w:rsidP="002C3645">
      <w:pPr>
        <w:spacing w:line="20" w:lineRule="atLeast"/>
        <w:jc w:val="both"/>
        <w:outlineLvl w:val="0"/>
        <w:rPr>
          <w:rFonts w:ascii="Garamond" w:hAnsi="Garamond"/>
          <w:b/>
        </w:rPr>
      </w:pPr>
    </w:p>
    <w:p w:rsidR="002C3645" w:rsidRPr="00C4512E" w:rsidRDefault="002C3645" w:rsidP="002C3645">
      <w:pPr>
        <w:spacing w:line="20" w:lineRule="atLeast"/>
        <w:jc w:val="both"/>
        <w:rPr>
          <w:rFonts w:ascii="Garamond" w:hAnsi="Garamond"/>
        </w:rPr>
      </w:pPr>
    </w:p>
    <w:p w:rsidR="00563987" w:rsidRPr="00C4512E" w:rsidRDefault="002C3645" w:rsidP="002C3645">
      <w:pPr>
        <w:spacing w:line="20" w:lineRule="atLeast"/>
        <w:jc w:val="both"/>
        <w:rPr>
          <w:rFonts w:ascii="Garamond" w:hAnsi="Garamond"/>
          <w:bCs/>
        </w:rPr>
      </w:pPr>
      <w:r w:rsidRPr="00C4512E">
        <w:rPr>
          <w:rFonts w:ascii="Garamond" w:hAnsi="Garamond"/>
        </w:rPr>
        <w:t xml:space="preserve">The </w:t>
      </w:r>
      <w:r w:rsidR="00E77B3E" w:rsidRPr="00C4512E">
        <w:rPr>
          <w:rFonts w:ascii="Garamond" w:hAnsi="Garamond"/>
        </w:rPr>
        <w:t xml:space="preserve">SEBI Monthly </w:t>
      </w:r>
      <w:r w:rsidRPr="00C4512E">
        <w:rPr>
          <w:rFonts w:ascii="Garamond" w:hAnsi="Garamond"/>
        </w:rPr>
        <w:t xml:space="preserve">Bulletin is issued by the Department of Economic and Policy Analysis, Securities and Exchange Board of India under the direction of </w:t>
      </w:r>
      <w:r w:rsidR="00563987" w:rsidRPr="00C4512E">
        <w:rPr>
          <w:rFonts w:ascii="Garamond" w:hAnsi="Garamond"/>
        </w:rPr>
        <w:t>the</w:t>
      </w:r>
      <w:r w:rsidRPr="00C4512E">
        <w:rPr>
          <w:rFonts w:ascii="Garamond" w:hAnsi="Garamond"/>
        </w:rPr>
        <w:t xml:space="preserve">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w:t>
      </w:r>
      <w:r w:rsidRPr="00C4512E">
        <w:rPr>
          <w:rFonts w:ascii="Garamond" w:hAnsi="Garamond"/>
          <w:bCs/>
        </w:rPr>
        <w:t xml:space="preserve"> </w:t>
      </w:r>
      <w:r w:rsidR="00E71481" w:rsidRPr="00C4512E">
        <w:rPr>
          <w:rFonts w:ascii="Garamond" w:hAnsi="Garamond"/>
          <w:bCs/>
        </w:rPr>
        <w:t xml:space="preserve"> </w:t>
      </w:r>
    </w:p>
    <w:p w:rsidR="00563987" w:rsidRPr="00C4512E" w:rsidRDefault="00563987" w:rsidP="002C3645">
      <w:pPr>
        <w:spacing w:line="20" w:lineRule="atLeast"/>
        <w:jc w:val="both"/>
        <w:rPr>
          <w:rFonts w:ascii="Garamond" w:hAnsi="Garamond"/>
          <w:bCs/>
        </w:rPr>
      </w:pPr>
    </w:p>
    <w:p w:rsidR="00563987" w:rsidRPr="00C4512E" w:rsidRDefault="00563987" w:rsidP="002C3645">
      <w:pPr>
        <w:spacing w:line="20" w:lineRule="atLeast"/>
        <w:jc w:val="both"/>
        <w:rPr>
          <w:rFonts w:ascii="Garamond" w:hAnsi="Garamond"/>
          <w:bCs/>
        </w:rPr>
      </w:pPr>
      <w:r w:rsidRPr="00C4512E">
        <w:rPr>
          <w:rFonts w:ascii="Garamond" w:hAnsi="Garamond"/>
          <w:bCs/>
        </w:rPr>
        <w:t>The soft</w:t>
      </w:r>
      <w:r w:rsidR="00E71481" w:rsidRPr="00C4512E">
        <w:rPr>
          <w:rFonts w:ascii="Garamond" w:hAnsi="Garamond"/>
          <w:bCs/>
        </w:rPr>
        <w:t xml:space="preserve"> copy of SEBI Bulletin </w:t>
      </w:r>
      <w:r w:rsidRPr="00C4512E">
        <w:rPr>
          <w:rFonts w:ascii="Garamond" w:hAnsi="Garamond"/>
          <w:bCs/>
        </w:rPr>
        <w:t xml:space="preserve">in PDF, Word and Excel formats </w:t>
      </w:r>
      <w:r w:rsidR="00E77B3E" w:rsidRPr="00C4512E">
        <w:rPr>
          <w:rFonts w:ascii="Garamond" w:hAnsi="Garamond"/>
          <w:bCs/>
        </w:rPr>
        <w:t xml:space="preserve">can be freely downloaded from the publications link under Reports and Statistics </w:t>
      </w:r>
      <w:r w:rsidRPr="00C4512E">
        <w:rPr>
          <w:rFonts w:ascii="Garamond" w:hAnsi="Garamond"/>
          <w:bCs/>
        </w:rPr>
        <w:t>s</w:t>
      </w:r>
      <w:r w:rsidR="00E77B3E" w:rsidRPr="00C4512E">
        <w:rPr>
          <w:rFonts w:ascii="Garamond" w:hAnsi="Garamond"/>
          <w:bCs/>
        </w:rPr>
        <w:t>ection in SEBI website</w:t>
      </w:r>
      <w:r w:rsidR="00E77B3E" w:rsidRPr="00C4512E">
        <w:rPr>
          <w:rFonts w:ascii="Garamond" w:hAnsi="Garamond"/>
        </w:rPr>
        <w:t xml:space="preserve"> (</w:t>
      </w:r>
      <w:hyperlink r:id="rId15" w:history="1">
        <w:r w:rsidR="00B522A6" w:rsidRPr="00C4512E">
          <w:rPr>
            <w:rStyle w:val="Hyperlink"/>
            <w:rFonts w:ascii="Garamond" w:hAnsi="Garamond"/>
            <w:bCs/>
          </w:rPr>
          <w:t>https://www.sebi.gov.in/reports-and-statistics.html</w:t>
        </w:r>
      </w:hyperlink>
      <w:r w:rsidR="00E77B3E" w:rsidRPr="00C4512E">
        <w:rPr>
          <w:rFonts w:ascii="Garamond" w:hAnsi="Garamond"/>
          <w:bCs/>
        </w:rPr>
        <w:t>)</w:t>
      </w:r>
      <w:r w:rsidRPr="00C4512E">
        <w:rPr>
          <w:rFonts w:ascii="Garamond" w:hAnsi="Garamond"/>
          <w:bCs/>
        </w:rPr>
        <w:t>.</w:t>
      </w:r>
      <w:r w:rsidR="00E77B3E" w:rsidRPr="00C4512E">
        <w:rPr>
          <w:rFonts w:ascii="Garamond" w:hAnsi="Garamond"/>
          <w:bCs/>
        </w:rPr>
        <w:t xml:space="preserve"> </w:t>
      </w:r>
    </w:p>
    <w:p w:rsidR="00563987" w:rsidRPr="00C4512E" w:rsidRDefault="00563987" w:rsidP="002C3645">
      <w:pPr>
        <w:spacing w:line="20" w:lineRule="atLeast"/>
        <w:jc w:val="both"/>
        <w:rPr>
          <w:rFonts w:ascii="Garamond" w:hAnsi="Garamond"/>
          <w:bCs/>
        </w:rPr>
      </w:pPr>
    </w:p>
    <w:p w:rsidR="00563987" w:rsidRPr="00C4512E" w:rsidRDefault="002C3645" w:rsidP="002C3645">
      <w:pPr>
        <w:spacing w:line="20" w:lineRule="atLeast"/>
        <w:jc w:val="both"/>
        <w:rPr>
          <w:rFonts w:ascii="Garamond" w:hAnsi="Garamond"/>
        </w:rPr>
      </w:pPr>
      <w:r w:rsidRPr="00C4512E">
        <w:rPr>
          <w:rFonts w:ascii="Garamond" w:hAnsi="Garamond"/>
          <w:bCs/>
        </w:rPr>
        <w:t xml:space="preserve">Any comments and suggestions on any of the features/sections may be sent to </w:t>
      </w:r>
      <w:r w:rsidR="00563987" w:rsidRPr="00C4512E">
        <w:rPr>
          <w:rFonts w:ascii="Garamond" w:hAnsi="Garamond"/>
          <w:bCs/>
        </w:rPr>
        <w:t xml:space="preserve">the email id: </w:t>
      </w:r>
    </w:p>
    <w:p w:rsidR="00563987" w:rsidRPr="00C4512E" w:rsidRDefault="00BC3433" w:rsidP="002C3645">
      <w:pPr>
        <w:spacing w:line="20" w:lineRule="atLeast"/>
        <w:jc w:val="both"/>
        <w:rPr>
          <w:rFonts w:ascii="Garamond" w:hAnsi="Garamond"/>
        </w:rPr>
      </w:pPr>
      <w:hyperlink r:id="rId16" w:history="1">
        <w:r w:rsidR="00563987" w:rsidRPr="00C4512E">
          <w:rPr>
            <w:rStyle w:val="Hyperlink"/>
            <w:rFonts w:ascii="Garamond" w:hAnsi="Garamond"/>
          </w:rPr>
          <w:t>bulletin@sebi.gov.in</w:t>
        </w:r>
      </w:hyperlink>
    </w:p>
    <w:p w:rsidR="00563987" w:rsidRPr="00C4512E" w:rsidRDefault="00563987" w:rsidP="002C3645">
      <w:pPr>
        <w:spacing w:line="20" w:lineRule="atLeast"/>
        <w:jc w:val="both"/>
        <w:rPr>
          <w:rFonts w:ascii="Garamond" w:hAnsi="Garamond"/>
        </w:rPr>
      </w:pPr>
    </w:p>
    <w:p w:rsidR="00563987" w:rsidRPr="009A0EB3" w:rsidRDefault="00563987" w:rsidP="002C3645">
      <w:pPr>
        <w:spacing w:line="20" w:lineRule="atLeast"/>
        <w:jc w:val="both"/>
        <w:rPr>
          <w:rFonts w:ascii="Palatino Linotype" w:hAnsi="Palatino Linotype"/>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EB52C5" w:rsidRDefault="00EB52C5" w:rsidP="00B84DDC">
      <w:pPr>
        <w:outlineLvl w:val="0"/>
        <w:rPr>
          <w:rFonts w:ascii="Palatino Linotype" w:hAnsi="Palatino Linotype" w:cs="Helvetica"/>
          <w:b/>
          <w:color w:val="000099"/>
          <w:sz w:val="22"/>
          <w:szCs w:val="22"/>
        </w:rPr>
      </w:pPr>
    </w:p>
    <w:p w:rsidR="00B84DDC" w:rsidRPr="009A0EB3" w:rsidRDefault="00B84DDC" w:rsidP="00B84DDC">
      <w:pP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Pr="009A0EB3" w:rsidRDefault="00C4512E" w:rsidP="00B25DA6">
      <w:pPr>
        <w:jc w:val="center"/>
        <w:outlineLvl w:val="0"/>
        <w:rPr>
          <w:rFonts w:ascii="Palatino Linotype" w:hAnsi="Palatino Linotype" w:cs="Helvetica"/>
          <w:b/>
          <w:color w:val="000099"/>
          <w:sz w:val="22"/>
          <w:szCs w:val="22"/>
        </w:rPr>
      </w:pPr>
    </w:p>
    <w:p w:rsidR="00C4512E" w:rsidRDefault="00C4512E"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2C3645" w:rsidRPr="00966FBB" w:rsidRDefault="002C3645" w:rsidP="002C3645">
      <w:pPr>
        <w:spacing w:line="20" w:lineRule="atLeast"/>
        <w:jc w:val="center"/>
        <w:rPr>
          <w:rFonts w:ascii="Garamond" w:hAnsi="Garamond"/>
          <w:b/>
          <w:color w:val="1F4E79"/>
          <w:sz w:val="28"/>
          <w:szCs w:val="28"/>
        </w:rPr>
      </w:pPr>
      <w:r w:rsidRPr="00966FBB">
        <w:rPr>
          <w:rFonts w:ascii="Garamond" w:hAnsi="Garamond"/>
          <w:b/>
          <w:color w:val="1F4E79"/>
          <w:sz w:val="28"/>
          <w:szCs w:val="28"/>
        </w:rPr>
        <w:t>CONTENTS</w:t>
      </w:r>
    </w:p>
    <w:p w:rsidR="002C3645" w:rsidRPr="00C4512E" w:rsidRDefault="002C3645" w:rsidP="002C3645">
      <w:pPr>
        <w:spacing w:line="20" w:lineRule="atLeast"/>
        <w:jc w:val="both"/>
        <w:rPr>
          <w:rFonts w:ascii="Garamond" w:hAnsi="Garamond"/>
          <w:b/>
          <w:color w:val="0000FF"/>
        </w:rPr>
      </w:pPr>
    </w:p>
    <w:p w:rsidR="002C3645" w:rsidRPr="00C4512E" w:rsidRDefault="002C3645" w:rsidP="002C3645">
      <w:pPr>
        <w:spacing w:line="20" w:lineRule="atLeast"/>
        <w:jc w:val="both"/>
        <w:rPr>
          <w:rFonts w:ascii="Garamond" w:hAnsi="Garamond"/>
          <w:b/>
          <w:color w:val="0000FF"/>
        </w:rPr>
      </w:pPr>
    </w:p>
    <w:p w:rsidR="002C1136" w:rsidRPr="00966FBB" w:rsidRDefault="00D73337" w:rsidP="00A36146">
      <w:pPr>
        <w:spacing w:line="20" w:lineRule="atLeast"/>
        <w:jc w:val="both"/>
        <w:rPr>
          <w:rFonts w:ascii="Garamond" w:hAnsi="Garamond"/>
          <w:b/>
          <w:color w:val="1F4E79"/>
        </w:rPr>
      </w:pPr>
      <w:r w:rsidRPr="00966FBB">
        <w:rPr>
          <w:rFonts w:ascii="Garamond" w:hAnsi="Garamond"/>
          <w:b/>
          <w:color w:val="1F4E79"/>
        </w:rPr>
        <w:t>SPEECH</w:t>
      </w:r>
      <w:r w:rsidR="008E4B65" w:rsidRPr="00966FBB">
        <w:rPr>
          <w:rFonts w:ascii="Garamond" w:hAnsi="Garamond"/>
          <w:b/>
          <w:color w:val="1F4E79"/>
        </w:rPr>
        <w:t>ES</w:t>
      </w:r>
    </w:p>
    <w:p w:rsidR="008E4B65" w:rsidRDefault="008E4B65" w:rsidP="008E4B65">
      <w:pPr>
        <w:shd w:val="clear" w:color="auto" w:fill="FFFFFF"/>
        <w:rPr>
          <w:rFonts w:ascii="Garamond" w:hAnsi="Garamond" w:cs="Helvetica"/>
          <w:b/>
          <w:color w:val="000099"/>
        </w:rPr>
      </w:pPr>
    </w:p>
    <w:p w:rsidR="0070462A" w:rsidRPr="0070462A" w:rsidRDefault="008E4B65" w:rsidP="004E40DA">
      <w:pPr>
        <w:pStyle w:val="ListParagraph"/>
        <w:numPr>
          <w:ilvl w:val="0"/>
          <w:numId w:val="19"/>
        </w:numPr>
        <w:shd w:val="clear" w:color="auto" w:fill="FFFFFF"/>
        <w:rPr>
          <w:rFonts w:ascii="Garamond" w:hAnsi="Garamond" w:cs="Helvetica"/>
          <w:b/>
          <w:color w:val="000099"/>
          <w:sz w:val="22"/>
          <w:szCs w:val="22"/>
        </w:rPr>
      </w:pPr>
      <w:r w:rsidRPr="00966FBB">
        <w:rPr>
          <w:rFonts w:ascii="Garamond" w:hAnsi="Garamond"/>
          <w:b/>
          <w:color w:val="1F4E79"/>
          <w:sz w:val="22"/>
          <w:szCs w:val="22"/>
        </w:rPr>
        <w:t xml:space="preserve">Reflections on Evolution of ESG Norms, Investment and Regulation </w:t>
      </w:r>
    </w:p>
    <w:p w:rsidR="008E4B65" w:rsidRPr="008E4B65" w:rsidRDefault="008D39D7" w:rsidP="004E40DA">
      <w:pPr>
        <w:pStyle w:val="ListParagraph"/>
        <w:numPr>
          <w:ilvl w:val="0"/>
          <w:numId w:val="19"/>
        </w:numPr>
        <w:shd w:val="clear" w:color="auto" w:fill="FFFFFF"/>
        <w:rPr>
          <w:rFonts w:ascii="Garamond" w:hAnsi="Garamond" w:cs="Helvetica"/>
          <w:b/>
          <w:color w:val="000099"/>
          <w:sz w:val="22"/>
          <w:szCs w:val="22"/>
        </w:rPr>
      </w:pPr>
      <w:r w:rsidRPr="00966FBB">
        <w:rPr>
          <w:rFonts w:ascii="Garamond" w:hAnsi="Garamond"/>
          <w:b/>
          <w:color w:val="1F4E79"/>
          <w:sz w:val="22"/>
          <w:szCs w:val="22"/>
        </w:rPr>
        <w:t>Indian Capital Market: A Leap Ahead</w:t>
      </w:r>
      <w:r w:rsidR="0070462A" w:rsidRPr="00966FBB">
        <w:rPr>
          <w:rFonts w:ascii="Garamond" w:hAnsi="Garamond"/>
          <w:b/>
          <w:color w:val="1F4E79"/>
          <w:sz w:val="22"/>
          <w:szCs w:val="22"/>
        </w:rPr>
        <w:t xml:space="preserve"> </w:t>
      </w:r>
      <w:r w:rsidRPr="00966FBB">
        <w:rPr>
          <w:rFonts w:ascii="Garamond" w:hAnsi="Garamond"/>
          <w:b/>
          <w:color w:val="1F4E79"/>
          <w:sz w:val="22"/>
          <w:szCs w:val="22"/>
        </w:rPr>
        <w:t xml:space="preserve">- </w:t>
      </w:r>
      <w:r w:rsidR="0070462A" w:rsidRPr="00966FBB">
        <w:rPr>
          <w:rFonts w:ascii="Garamond" w:hAnsi="Garamond"/>
          <w:b/>
          <w:color w:val="1F4E79"/>
          <w:sz w:val="22"/>
          <w:szCs w:val="22"/>
        </w:rPr>
        <w:t>Reflections on</w:t>
      </w:r>
      <w:r w:rsidRPr="00966FBB">
        <w:rPr>
          <w:rFonts w:ascii="Garamond" w:hAnsi="Garamond"/>
          <w:b/>
          <w:color w:val="1F4E79"/>
          <w:sz w:val="22"/>
          <w:szCs w:val="22"/>
        </w:rPr>
        <w:t xml:space="preserve"> Primary Markets</w:t>
      </w:r>
    </w:p>
    <w:p w:rsidR="008E4B65" w:rsidRPr="00966FBB" w:rsidRDefault="008E4B65" w:rsidP="004E40DA">
      <w:pPr>
        <w:pStyle w:val="ListParagraph"/>
        <w:numPr>
          <w:ilvl w:val="0"/>
          <w:numId w:val="19"/>
        </w:numPr>
        <w:shd w:val="clear" w:color="auto" w:fill="FFFFFF"/>
        <w:rPr>
          <w:rFonts w:ascii="Garamond" w:hAnsi="Garamond"/>
          <w:b/>
          <w:color w:val="1F4E79"/>
          <w:sz w:val="22"/>
          <w:szCs w:val="22"/>
        </w:rPr>
      </w:pPr>
      <w:r w:rsidRPr="00966FBB">
        <w:rPr>
          <w:rFonts w:ascii="Garamond" w:hAnsi="Garamond"/>
          <w:b/>
          <w:color w:val="1F4E79"/>
          <w:sz w:val="22"/>
          <w:szCs w:val="22"/>
        </w:rPr>
        <w:t>Changing Face of Indian Primary Capital Markets</w:t>
      </w:r>
    </w:p>
    <w:p w:rsidR="00D73337" w:rsidRPr="00966FBB" w:rsidRDefault="00D73337" w:rsidP="00F81232">
      <w:pPr>
        <w:spacing w:line="20" w:lineRule="atLeast"/>
        <w:jc w:val="both"/>
        <w:rPr>
          <w:rFonts w:ascii="Garamond" w:hAnsi="Garamond"/>
          <w:b/>
          <w:color w:val="1F4E79"/>
        </w:rPr>
      </w:pPr>
    </w:p>
    <w:p w:rsidR="002C3645" w:rsidRPr="00966FBB" w:rsidRDefault="002C3645" w:rsidP="00F81232">
      <w:pPr>
        <w:spacing w:line="20" w:lineRule="atLeast"/>
        <w:jc w:val="both"/>
        <w:rPr>
          <w:rFonts w:ascii="Garamond" w:hAnsi="Garamond"/>
          <w:b/>
          <w:color w:val="1F4E79"/>
        </w:rPr>
      </w:pPr>
      <w:r w:rsidRPr="00966FBB">
        <w:rPr>
          <w:rFonts w:ascii="Garamond" w:hAnsi="Garamond"/>
          <w:b/>
          <w:color w:val="1F4E79"/>
        </w:rPr>
        <w:t>CAPITAL MARKET REVIEW</w:t>
      </w:r>
    </w:p>
    <w:p w:rsidR="002C3645" w:rsidRPr="00966FBB" w:rsidRDefault="002C3645" w:rsidP="002C3645">
      <w:pPr>
        <w:spacing w:line="20" w:lineRule="atLeast"/>
        <w:jc w:val="both"/>
        <w:rPr>
          <w:rFonts w:ascii="Garamond" w:hAnsi="Garamond"/>
          <w:b/>
          <w:color w:val="1F4E79"/>
        </w:rPr>
      </w:pPr>
    </w:p>
    <w:p w:rsidR="002C3645" w:rsidRPr="00966FBB" w:rsidRDefault="002C3645" w:rsidP="002C3645">
      <w:pPr>
        <w:spacing w:line="20" w:lineRule="atLeast"/>
        <w:jc w:val="both"/>
        <w:rPr>
          <w:rFonts w:ascii="Garamond" w:hAnsi="Garamond"/>
          <w:b/>
          <w:color w:val="1F4E79"/>
        </w:rPr>
      </w:pPr>
      <w:r w:rsidRPr="00966FBB">
        <w:rPr>
          <w:rFonts w:ascii="Garamond" w:hAnsi="Garamond"/>
          <w:b/>
          <w:color w:val="1F4E79"/>
        </w:rPr>
        <w:t>REVIEW OF GLOBAL FINANCIAL MARKETS</w:t>
      </w:r>
    </w:p>
    <w:p w:rsidR="002C3645" w:rsidRPr="00966FBB" w:rsidRDefault="002C3645" w:rsidP="002C3645">
      <w:pPr>
        <w:spacing w:line="20" w:lineRule="atLeast"/>
        <w:jc w:val="both"/>
        <w:rPr>
          <w:rFonts w:ascii="Garamond" w:hAnsi="Garamond"/>
          <w:b/>
          <w:color w:val="1F4E79"/>
        </w:rPr>
      </w:pPr>
    </w:p>
    <w:p w:rsidR="002C3645" w:rsidRPr="00966FBB" w:rsidRDefault="002C3645" w:rsidP="002C3645">
      <w:pPr>
        <w:spacing w:line="20" w:lineRule="atLeast"/>
        <w:jc w:val="both"/>
        <w:rPr>
          <w:rFonts w:ascii="Garamond" w:hAnsi="Garamond"/>
          <w:b/>
          <w:color w:val="1F4E79"/>
        </w:rPr>
      </w:pPr>
      <w:r w:rsidRPr="00966FBB">
        <w:rPr>
          <w:rFonts w:ascii="Garamond" w:hAnsi="Garamond"/>
          <w:b/>
          <w:color w:val="1F4E79"/>
        </w:rPr>
        <w:t>HIGHLIGHTS OF DEVELOPMENTS IN INTERNATIONAL SECURITIES MARKET</w:t>
      </w:r>
    </w:p>
    <w:p w:rsidR="002C3645" w:rsidRPr="00966FBB" w:rsidRDefault="002C3645" w:rsidP="002C3645">
      <w:pPr>
        <w:spacing w:line="20" w:lineRule="atLeast"/>
        <w:jc w:val="both"/>
        <w:rPr>
          <w:rFonts w:ascii="Garamond" w:hAnsi="Garamond"/>
          <w:b/>
          <w:color w:val="1F4E79"/>
        </w:rPr>
      </w:pPr>
    </w:p>
    <w:p w:rsidR="002C3645" w:rsidRPr="00966FBB" w:rsidRDefault="002C3645" w:rsidP="002C3645">
      <w:pPr>
        <w:spacing w:line="20" w:lineRule="atLeast"/>
        <w:jc w:val="both"/>
        <w:rPr>
          <w:rFonts w:ascii="Garamond" w:hAnsi="Garamond"/>
          <w:b/>
          <w:color w:val="1F4E79"/>
        </w:rPr>
      </w:pPr>
      <w:r w:rsidRPr="00966FBB">
        <w:rPr>
          <w:rFonts w:ascii="Garamond" w:hAnsi="Garamond"/>
          <w:b/>
          <w:color w:val="1F4E79"/>
        </w:rPr>
        <w:t xml:space="preserve">POLICY DEVELOPMENTS </w:t>
      </w:r>
      <w:r w:rsidR="00B522A6" w:rsidRPr="00966FBB">
        <w:rPr>
          <w:rFonts w:ascii="Garamond" w:hAnsi="Garamond"/>
          <w:b/>
          <w:color w:val="1F4E79"/>
        </w:rPr>
        <w:t>IN INDIAN SECURITIES MARKET</w:t>
      </w:r>
    </w:p>
    <w:p w:rsidR="002C3645" w:rsidRPr="00966FBB" w:rsidRDefault="002C3645" w:rsidP="002C3645">
      <w:pPr>
        <w:spacing w:line="20" w:lineRule="atLeast"/>
        <w:jc w:val="both"/>
        <w:rPr>
          <w:rFonts w:ascii="Garamond" w:hAnsi="Garamond"/>
          <w:b/>
          <w:color w:val="1F4E79"/>
        </w:rPr>
      </w:pPr>
    </w:p>
    <w:p w:rsidR="002C3645" w:rsidRPr="00966FBB" w:rsidRDefault="002C3645" w:rsidP="002C3645">
      <w:pPr>
        <w:spacing w:line="20" w:lineRule="atLeast"/>
        <w:jc w:val="both"/>
        <w:rPr>
          <w:rFonts w:ascii="Garamond" w:hAnsi="Garamond"/>
          <w:b/>
          <w:color w:val="1F4E79"/>
        </w:rPr>
      </w:pPr>
      <w:r w:rsidRPr="00966FBB">
        <w:rPr>
          <w:rFonts w:ascii="Garamond" w:hAnsi="Garamond"/>
          <w:b/>
          <w:color w:val="1F4E79"/>
        </w:rPr>
        <w:t xml:space="preserve">REGULATORY ACTIONS TAKEN BY SEBI </w:t>
      </w:r>
    </w:p>
    <w:p w:rsidR="002C3645" w:rsidRPr="00966FBB" w:rsidRDefault="002C3645" w:rsidP="002C3645">
      <w:pPr>
        <w:spacing w:line="20" w:lineRule="atLeast"/>
        <w:jc w:val="both"/>
        <w:rPr>
          <w:rFonts w:ascii="Garamond" w:hAnsi="Garamond"/>
          <w:b/>
          <w:color w:val="1F4E79"/>
        </w:rPr>
      </w:pPr>
    </w:p>
    <w:p w:rsidR="002C3645" w:rsidRPr="00966FBB" w:rsidRDefault="00B522A6" w:rsidP="002C3645">
      <w:pPr>
        <w:spacing w:line="20" w:lineRule="atLeast"/>
        <w:jc w:val="both"/>
        <w:rPr>
          <w:rFonts w:ascii="Garamond" w:hAnsi="Garamond"/>
          <w:b/>
          <w:color w:val="1F4E79"/>
        </w:rPr>
      </w:pPr>
      <w:r w:rsidRPr="00966FBB">
        <w:rPr>
          <w:rFonts w:ascii="Garamond" w:hAnsi="Garamond"/>
          <w:b/>
          <w:color w:val="1F4E79"/>
        </w:rPr>
        <w:t>CURRENT STATISTICS</w:t>
      </w:r>
    </w:p>
    <w:p w:rsidR="00C4512E" w:rsidRPr="00966FBB" w:rsidRDefault="00C4512E" w:rsidP="002C3645">
      <w:pPr>
        <w:spacing w:line="20" w:lineRule="atLeast"/>
        <w:jc w:val="both"/>
        <w:rPr>
          <w:rFonts w:ascii="Garamond" w:hAnsi="Garamond"/>
          <w:b/>
          <w:color w:val="1F4E79"/>
        </w:rPr>
      </w:pPr>
    </w:p>
    <w:p w:rsidR="00C4512E" w:rsidRPr="00966FBB" w:rsidRDefault="00C4512E" w:rsidP="002C3645">
      <w:pPr>
        <w:spacing w:line="20" w:lineRule="atLeast"/>
        <w:jc w:val="both"/>
        <w:rPr>
          <w:rFonts w:ascii="Garamond" w:hAnsi="Garamond"/>
          <w:b/>
          <w:color w:val="1F4E79"/>
        </w:rPr>
      </w:pPr>
      <w:r w:rsidRPr="00966FBB">
        <w:rPr>
          <w:rFonts w:ascii="Garamond" w:hAnsi="Garamond"/>
          <w:b/>
          <w:color w:val="1F4E79"/>
        </w:rPr>
        <w:t>LATEST PUBLICATIONS</w:t>
      </w:r>
    </w:p>
    <w:p w:rsidR="002C3645" w:rsidRPr="00966FBB" w:rsidRDefault="002C3645" w:rsidP="002C3645">
      <w:pPr>
        <w:spacing w:line="20" w:lineRule="atLeast"/>
        <w:jc w:val="both"/>
        <w:rPr>
          <w:rFonts w:ascii="Palatino Linotype" w:hAnsi="Palatino Linotype"/>
          <w:b/>
          <w:color w:val="1F4E79"/>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563987" w:rsidRPr="00966FBB" w:rsidRDefault="00563987" w:rsidP="006F52A3">
      <w:pPr>
        <w:shd w:val="clear" w:color="auto" w:fill="FFFFFF"/>
        <w:jc w:val="right"/>
        <w:rPr>
          <w:rFonts w:ascii="Garamond" w:eastAsia="Times New Roman" w:hAnsi="Garamond" w:cs="Arial"/>
          <w:b/>
          <w:bCs/>
          <w:color w:val="1F4E79"/>
          <w:sz w:val="28"/>
          <w:szCs w:val="28"/>
          <w:lang w:val="en-US" w:bidi="hi-IN"/>
        </w:rPr>
      </w:pPr>
      <w:r w:rsidRPr="00966FBB">
        <w:rPr>
          <w:rFonts w:ascii="Garamond" w:eastAsia="Times New Roman" w:hAnsi="Garamond" w:cs="Arial"/>
          <w:b/>
          <w:bCs/>
          <w:color w:val="1F4E79"/>
          <w:sz w:val="28"/>
          <w:szCs w:val="28"/>
          <w:lang w:val="en-US" w:bidi="hi-IN"/>
        </w:rPr>
        <w:t>SPEECH</w:t>
      </w:r>
    </w:p>
    <w:p w:rsidR="00563987" w:rsidRPr="00966FBB" w:rsidRDefault="00563987" w:rsidP="00563987">
      <w:pPr>
        <w:shd w:val="clear" w:color="auto" w:fill="FFFFFF"/>
        <w:jc w:val="right"/>
        <w:rPr>
          <w:rFonts w:ascii="Garamond" w:eastAsia="Times New Roman" w:hAnsi="Garamond" w:cs="Arial"/>
          <w:b/>
          <w:bCs/>
          <w:color w:val="1F4E79"/>
          <w:lang w:val="en-US" w:bidi="hi-IN"/>
        </w:rPr>
      </w:pPr>
    </w:p>
    <w:p w:rsidR="0070462A" w:rsidRDefault="008D39D7" w:rsidP="0070462A">
      <w:pPr>
        <w:shd w:val="clear" w:color="auto" w:fill="FFFFFF"/>
        <w:jc w:val="center"/>
        <w:rPr>
          <w:rFonts w:ascii="Garamond" w:hAnsi="Garamond" w:cs="Helvetica"/>
          <w:b/>
          <w:color w:val="000099"/>
        </w:rPr>
      </w:pPr>
      <w:r>
        <w:rPr>
          <w:rFonts w:ascii="Garamond" w:hAnsi="Garamond" w:cs="Helvetica"/>
          <w:b/>
          <w:color w:val="000099"/>
        </w:rPr>
        <w:t>Reflections on Evolution of ESG Norms, Investment</w:t>
      </w:r>
      <w:r w:rsidR="0070462A">
        <w:rPr>
          <w:rFonts w:ascii="Garamond" w:hAnsi="Garamond" w:cs="Helvetica"/>
          <w:b/>
          <w:color w:val="000099"/>
        </w:rPr>
        <w:t>s</w:t>
      </w:r>
      <w:r>
        <w:rPr>
          <w:rFonts w:ascii="Garamond" w:hAnsi="Garamond" w:cs="Helvetica"/>
          <w:b/>
          <w:color w:val="000099"/>
        </w:rPr>
        <w:t xml:space="preserve"> and Regulation</w:t>
      </w:r>
      <w:r w:rsidR="0070462A">
        <w:rPr>
          <w:rStyle w:val="FootnoteReference"/>
          <w:rFonts w:ascii="Garamond" w:hAnsi="Garamond" w:cs="Helvetica"/>
          <w:b/>
          <w:color w:val="000099"/>
        </w:rPr>
        <w:footnoteReference w:id="1"/>
      </w:r>
      <w:r>
        <w:rPr>
          <w:rFonts w:ascii="Garamond" w:hAnsi="Garamond" w:cs="Helvetica"/>
          <w:b/>
          <w:color w:val="000099"/>
        </w:rPr>
        <w:t xml:space="preserve"> </w:t>
      </w:r>
    </w:p>
    <w:p w:rsidR="0070462A" w:rsidRDefault="0070462A" w:rsidP="0070462A">
      <w:pPr>
        <w:shd w:val="clear" w:color="auto" w:fill="FFFFFF"/>
        <w:jc w:val="right"/>
        <w:rPr>
          <w:rFonts w:ascii="Garamond" w:hAnsi="Garamond" w:cs="Helvetica"/>
          <w:b/>
          <w:color w:val="000099"/>
        </w:rPr>
      </w:pPr>
    </w:p>
    <w:p w:rsidR="0070462A" w:rsidRPr="00DB4416" w:rsidRDefault="0070462A" w:rsidP="0070462A">
      <w:pPr>
        <w:shd w:val="clear" w:color="auto" w:fill="FFFFFF"/>
        <w:jc w:val="right"/>
        <w:rPr>
          <w:rFonts w:ascii="Garamond" w:hAnsi="Garamond" w:cs="Helvetica"/>
          <w:b/>
          <w:color w:val="000099"/>
        </w:rPr>
      </w:pPr>
      <w:r>
        <w:rPr>
          <w:rFonts w:ascii="Garamond" w:hAnsi="Garamond" w:cs="Helvetica"/>
          <w:b/>
          <w:color w:val="000099"/>
        </w:rPr>
        <w:t>Shri Ajay Tyagi, Chairman</w:t>
      </w:r>
    </w:p>
    <w:p w:rsidR="00611DA1" w:rsidRPr="00DB4416" w:rsidRDefault="00611DA1" w:rsidP="00E51198">
      <w:pPr>
        <w:jc w:val="center"/>
        <w:rPr>
          <w:rFonts w:ascii="Garamond" w:hAnsi="Garamond" w:cs="Arial"/>
          <w:b/>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Good  evening</w:t>
      </w:r>
      <w:r>
        <w:rPr>
          <w:rFonts w:ascii="Garamond" w:hAnsi="Garamond" w:cs="Arial"/>
          <w:bCs/>
          <w:sz w:val="24"/>
          <w:szCs w:val="24"/>
          <w:lang w:val="en-IN"/>
        </w:rPr>
        <w:t xml:space="preserve"> </w:t>
      </w:r>
      <w:r w:rsidRPr="002D66B4">
        <w:rPr>
          <w:rFonts w:ascii="Garamond" w:hAnsi="Garamond" w:cs="Arial"/>
          <w:bCs/>
          <w:sz w:val="24"/>
          <w:szCs w:val="24"/>
          <w:lang w:val="en-IN"/>
        </w:rPr>
        <w:t>Professor  Errol  D’Souza,  Shri  Arun Duggal, Shri  Sanjeev Krishan,</w:t>
      </w:r>
      <w:r>
        <w:rPr>
          <w:rFonts w:ascii="Garamond" w:hAnsi="Garamond" w:cs="Arial"/>
          <w:bCs/>
          <w:sz w:val="24"/>
          <w:szCs w:val="24"/>
          <w:lang w:val="en-IN"/>
        </w:rPr>
        <w:t xml:space="preserve"> </w:t>
      </w:r>
      <w:r w:rsidRPr="002D66B4">
        <w:rPr>
          <w:rFonts w:ascii="Garamond" w:hAnsi="Garamond" w:cs="Arial"/>
          <w:bCs/>
          <w:sz w:val="24"/>
          <w:szCs w:val="24"/>
          <w:lang w:val="en-IN"/>
        </w:rPr>
        <w:t>distinguished  faculty  members,  guests  and students.  It  is my</w:t>
      </w:r>
      <w:r>
        <w:rPr>
          <w:rFonts w:ascii="Garamond" w:hAnsi="Garamond" w:cs="Arial"/>
          <w:bCs/>
          <w:sz w:val="24"/>
          <w:szCs w:val="24"/>
          <w:lang w:val="en-IN"/>
        </w:rPr>
        <w:t xml:space="preserve"> </w:t>
      </w:r>
      <w:r w:rsidRPr="002D66B4">
        <w:rPr>
          <w:rFonts w:ascii="Garamond" w:hAnsi="Garamond" w:cs="Arial"/>
          <w:bCs/>
          <w:sz w:val="24"/>
          <w:szCs w:val="24"/>
          <w:lang w:val="en-IN"/>
        </w:rPr>
        <w:t>pleasure to be with you all, for the inauguration of the ‘Arun Duggal</w:t>
      </w:r>
      <w:r>
        <w:rPr>
          <w:rFonts w:ascii="Garamond" w:hAnsi="Garamond" w:cs="Arial"/>
          <w:bCs/>
          <w:sz w:val="24"/>
          <w:szCs w:val="24"/>
          <w:lang w:val="en-IN"/>
        </w:rPr>
        <w:t xml:space="preserve"> </w:t>
      </w:r>
      <w:r w:rsidRPr="002D66B4">
        <w:rPr>
          <w:rFonts w:ascii="Garamond" w:hAnsi="Garamond" w:cs="Arial"/>
          <w:bCs/>
          <w:sz w:val="24"/>
          <w:szCs w:val="24"/>
          <w:lang w:val="en-IN"/>
        </w:rPr>
        <w:t>ESG</w:t>
      </w:r>
      <w:r>
        <w:rPr>
          <w:rFonts w:ascii="Garamond" w:hAnsi="Garamond" w:cs="Arial"/>
          <w:bCs/>
          <w:sz w:val="24"/>
          <w:szCs w:val="24"/>
          <w:lang w:val="en-IN"/>
        </w:rPr>
        <w:t xml:space="preserve"> </w:t>
      </w:r>
      <w:r w:rsidRPr="002D66B4">
        <w:rPr>
          <w:rFonts w:ascii="Garamond" w:hAnsi="Garamond" w:cs="Arial"/>
          <w:bCs/>
          <w:sz w:val="24"/>
          <w:szCs w:val="24"/>
          <w:lang w:val="en-IN"/>
        </w:rPr>
        <w:t xml:space="preserve">Centre for Research and Innovation’ at IIM Ahmedabad.  </w:t>
      </w:r>
    </w:p>
    <w:p w:rsidR="002D66B4" w:rsidRDefault="002D66B4" w:rsidP="006F52A3">
      <w:pPr>
        <w:pStyle w:val="ListParagraph"/>
        <w:ind w:left="360"/>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At  a  fundamental  level,  ESG  norms  guide  organizations  to  adopt  practices and policies that are intended to create long term, sustainable benefits to all stakeholders   in   the   investment   ecosystem.   In   addition   to   targeting commercial benefits, ESG investing designs portfolios that also cater to the investors' social and environmental goals.</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The   concept   of   Environmental,</w:t>
      </w:r>
      <w:r>
        <w:rPr>
          <w:rFonts w:ascii="Garamond" w:hAnsi="Garamond" w:cs="Arial"/>
          <w:bCs/>
          <w:sz w:val="24"/>
          <w:szCs w:val="24"/>
          <w:lang w:val="en-IN"/>
        </w:rPr>
        <w:t xml:space="preserve"> </w:t>
      </w:r>
      <w:r w:rsidRPr="002D66B4">
        <w:rPr>
          <w:rFonts w:ascii="Garamond" w:hAnsi="Garamond" w:cs="Arial"/>
          <w:bCs/>
          <w:sz w:val="24"/>
          <w:szCs w:val="24"/>
          <w:lang w:val="en-IN"/>
        </w:rPr>
        <w:t>Social   and</w:t>
      </w:r>
      <w:r>
        <w:rPr>
          <w:rFonts w:ascii="Garamond" w:hAnsi="Garamond" w:cs="Arial"/>
          <w:bCs/>
          <w:sz w:val="24"/>
          <w:szCs w:val="24"/>
          <w:lang w:val="en-IN"/>
        </w:rPr>
        <w:t xml:space="preserve"> </w:t>
      </w:r>
      <w:r w:rsidRPr="002D66B4">
        <w:rPr>
          <w:rFonts w:ascii="Garamond" w:hAnsi="Garamond" w:cs="Arial"/>
          <w:bCs/>
          <w:sz w:val="24"/>
          <w:szCs w:val="24"/>
          <w:lang w:val="en-IN"/>
        </w:rPr>
        <w:t>Governance elements   in investments  is  not  new.    However,  recent  climate-driven  disasters  like unexpected   floods   and   wildfires   and   economic   and   social   disruptions emanating  from  the  Covid-19  pandemic  appear  to  have  driven  home  the importance of ESG as a critical component for long term business resilience, making “ESG” the buzzword in the investment ecosystem.</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While   on   one   side   investors   have   become   more   conscious   of   their responsibility towards environment and society, on the other</w:t>
      </w:r>
      <w:r>
        <w:rPr>
          <w:rFonts w:ascii="Garamond" w:hAnsi="Garamond" w:cs="Arial"/>
          <w:bCs/>
          <w:sz w:val="24"/>
          <w:szCs w:val="24"/>
          <w:lang w:val="en-IN"/>
        </w:rPr>
        <w:t xml:space="preserve"> </w:t>
      </w:r>
      <w:r w:rsidRPr="002D66B4">
        <w:rPr>
          <w:rFonts w:ascii="Garamond" w:hAnsi="Garamond" w:cs="Arial"/>
          <w:bCs/>
          <w:sz w:val="24"/>
          <w:szCs w:val="24"/>
          <w:lang w:val="en-IN"/>
        </w:rPr>
        <w:t>side pressure on companies to focus on ESG in their business practices has also increased. This has led to increased investor interest and demand for ESG reporting, ESG</w:t>
      </w:r>
      <w:r>
        <w:rPr>
          <w:rFonts w:ascii="Garamond" w:hAnsi="Garamond" w:cs="Arial"/>
          <w:bCs/>
          <w:sz w:val="24"/>
          <w:szCs w:val="24"/>
          <w:lang w:val="en-IN"/>
        </w:rPr>
        <w:t xml:space="preserve"> </w:t>
      </w:r>
      <w:r w:rsidRPr="002D66B4">
        <w:rPr>
          <w:rFonts w:ascii="Garamond" w:hAnsi="Garamond" w:cs="Arial"/>
          <w:bCs/>
          <w:sz w:val="24"/>
          <w:szCs w:val="24"/>
          <w:lang w:val="en-IN"/>
        </w:rPr>
        <w:t>ratings  and  ESG  related  products.  Let  me  share  with  you  some  data  points indicating that ESG has indeed picked up steam.</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In a recent survey by the World Federation of Exchanges, it was found that 87  per  cent  of  the  responding  stock  exchanges  observed  some  level  of investor  demand  for  ESG  related  products.  70  per  cent  of  the  responding stock</w:t>
      </w:r>
      <w:r>
        <w:rPr>
          <w:rFonts w:ascii="Garamond" w:hAnsi="Garamond" w:cs="Arial"/>
          <w:bCs/>
          <w:sz w:val="24"/>
          <w:szCs w:val="24"/>
          <w:lang w:val="en-IN"/>
        </w:rPr>
        <w:t xml:space="preserve"> </w:t>
      </w:r>
      <w:r w:rsidRPr="002D66B4">
        <w:rPr>
          <w:rFonts w:ascii="Garamond" w:hAnsi="Garamond" w:cs="Arial"/>
          <w:bCs/>
          <w:sz w:val="24"/>
          <w:szCs w:val="24"/>
          <w:lang w:val="en-IN"/>
        </w:rPr>
        <w:t>exchanges already offer ESG related products.  The increasing attention to ESG parameters of companies and corporations has necessitated the need for appropriate tools for ESG assessment and reporting. In the same survey, 95 per cent of the responding stock exchanges indicated that investors are demanding at least some ESG disclosures from the listed companies.</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Global issuance of all sustainable debt this year reached USD1.1 trillion upto</w:t>
      </w:r>
      <w:r>
        <w:rPr>
          <w:rFonts w:ascii="Garamond" w:hAnsi="Garamond" w:cs="Arial"/>
          <w:bCs/>
          <w:sz w:val="24"/>
          <w:szCs w:val="24"/>
          <w:lang w:val="en-IN"/>
        </w:rPr>
        <w:t xml:space="preserve"> </w:t>
      </w:r>
      <w:r w:rsidRPr="002D66B4">
        <w:rPr>
          <w:rFonts w:ascii="Garamond" w:hAnsi="Garamond" w:cs="Arial"/>
          <w:bCs/>
          <w:sz w:val="24"/>
          <w:szCs w:val="24"/>
          <w:lang w:val="en-IN"/>
        </w:rPr>
        <w:t>October 2021, exceeding 2020’s record issuance. The largest categories are green bonds, followed by sustainability-linked loans and social bonds.</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Global initiatives such as the Paris Agreement and Sustainable Development Goals (“SDGs”) endorse global acceptance of the relevance of ESG for sustainable economic growth.</w:t>
      </w:r>
    </w:p>
    <w:p w:rsidR="002D66B4" w:rsidRPr="002D66B4" w:rsidRDefault="002D66B4" w:rsidP="006F52A3">
      <w:pPr>
        <w:pStyle w:val="ListParagraph"/>
        <w:jc w:val="both"/>
        <w:rPr>
          <w:rFonts w:ascii="Garamond" w:hAnsi="Garamond" w:cs="Arial"/>
          <w:bCs/>
          <w:sz w:val="24"/>
          <w:szCs w:val="24"/>
          <w:lang w:val="en-IN"/>
        </w:rPr>
      </w:pPr>
    </w:p>
    <w:p w:rsidR="002D66B4" w:rsidRDefault="002D66B4" w:rsidP="004E40DA">
      <w:pPr>
        <w:pStyle w:val="ListParagraph"/>
        <w:numPr>
          <w:ilvl w:val="0"/>
          <w:numId w:val="13"/>
        </w:numPr>
        <w:jc w:val="both"/>
        <w:rPr>
          <w:rFonts w:ascii="Garamond" w:hAnsi="Garamond" w:cs="Arial"/>
          <w:bCs/>
          <w:sz w:val="24"/>
          <w:szCs w:val="24"/>
          <w:lang w:val="en-IN"/>
        </w:rPr>
      </w:pPr>
      <w:r w:rsidRPr="002D66B4">
        <w:rPr>
          <w:rFonts w:ascii="Garamond" w:hAnsi="Garamond" w:cs="Arial"/>
          <w:bCs/>
          <w:sz w:val="24"/>
          <w:szCs w:val="24"/>
          <w:lang w:val="en-IN"/>
        </w:rPr>
        <w:t>The  launch  of this</w:t>
      </w:r>
      <w:r>
        <w:rPr>
          <w:rFonts w:ascii="Garamond" w:hAnsi="Garamond" w:cs="Arial"/>
          <w:bCs/>
          <w:sz w:val="24"/>
          <w:szCs w:val="24"/>
          <w:lang w:val="en-IN"/>
        </w:rPr>
        <w:t xml:space="preserve"> </w:t>
      </w:r>
      <w:r w:rsidRPr="002D66B4">
        <w:rPr>
          <w:rFonts w:ascii="Garamond" w:hAnsi="Garamond" w:cs="Arial"/>
          <w:bCs/>
          <w:sz w:val="24"/>
          <w:szCs w:val="24"/>
          <w:lang w:val="en-IN"/>
        </w:rPr>
        <w:t>Centre  is  at  an  opportune  moment, just  after  the conclusion of COP26 Summit at Glasgow.</w:t>
      </w:r>
    </w:p>
    <w:p w:rsidR="002D66B4" w:rsidRPr="002D66B4" w:rsidRDefault="002D66B4" w:rsidP="006F52A3">
      <w:pPr>
        <w:pStyle w:val="ListParagraph"/>
        <w:jc w:val="both"/>
        <w:rPr>
          <w:rFonts w:ascii="Garamond" w:hAnsi="Garamond" w:cs="Arial"/>
          <w:bCs/>
          <w:sz w:val="24"/>
          <w:szCs w:val="24"/>
          <w:lang w:val="en-IN"/>
        </w:rPr>
      </w:pPr>
    </w:p>
    <w:p w:rsidR="002D66B4"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COP</w:t>
      </w:r>
      <w:r>
        <w:rPr>
          <w:rFonts w:ascii="Garamond" w:hAnsi="Garamond" w:cs="Arial"/>
          <w:bCs/>
          <w:sz w:val="24"/>
          <w:szCs w:val="24"/>
          <w:lang w:val="en-IN"/>
        </w:rPr>
        <w:t xml:space="preserve"> </w:t>
      </w:r>
      <w:r w:rsidRPr="004114CB">
        <w:rPr>
          <w:rFonts w:ascii="Garamond" w:hAnsi="Garamond" w:cs="Arial"/>
          <w:bCs/>
          <w:sz w:val="24"/>
          <w:szCs w:val="24"/>
          <w:lang w:val="en-IN"/>
        </w:rPr>
        <w:t>expressed  alarm  and  concern  that  human  activities  have</w:t>
      </w:r>
      <w:r>
        <w:rPr>
          <w:rFonts w:ascii="Garamond" w:hAnsi="Garamond" w:cs="Arial"/>
          <w:bCs/>
          <w:sz w:val="24"/>
          <w:szCs w:val="24"/>
          <w:lang w:val="en-IN"/>
        </w:rPr>
        <w:t xml:space="preserve"> </w:t>
      </w:r>
      <w:r w:rsidRPr="004114CB">
        <w:rPr>
          <w:rFonts w:ascii="Garamond" w:hAnsi="Garamond" w:cs="Arial"/>
          <w:bCs/>
          <w:sz w:val="24"/>
          <w:szCs w:val="24"/>
          <w:lang w:val="en-IN"/>
        </w:rPr>
        <w:t>caused around 1.1 °C of global warming to date and that impacts are already being felt in almost every region. It</w:t>
      </w:r>
      <w:r>
        <w:rPr>
          <w:rFonts w:ascii="Garamond" w:hAnsi="Garamond" w:cs="Arial"/>
          <w:bCs/>
          <w:sz w:val="24"/>
          <w:szCs w:val="24"/>
          <w:lang w:val="en-IN"/>
        </w:rPr>
        <w:t xml:space="preserve"> </w:t>
      </w:r>
      <w:r w:rsidRPr="004114CB">
        <w:rPr>
          <w:rFonts w:ascii="Garamond" w:hAnsi="Garamond" w:cs="Arial"/>
          <w:bCs/>
          <w:sz w:val="24"/>
          <w:szCs w:val="24"/>
          <w:lang w:val="en-IN"/>
        </w:rPr>
        <w:t>recognized that limiting global warming to 1.5 °C  requires  rapid,  deep  and  sustained  reductions  in  global  greenhouse  gas emissions, including</w:t>
      </w:r>
      <w:r>
        <w:rPr>
          <w:rFonts w:ascii="Garamond" w:hAnsi="Garamond" w:cs="Arial"/>
          <w:bCs/>
          <w:sz w:val="24"/>
          <w:szCs w:val="24"/>
          <w:lang w:val="en-IN"/>
        </w:rPr>
        <w:t xml:space="preserve"> </w:t>
      </w:r>
      <w:r w:rsidRPr="004114CB">
        <w:rPr>
          <w:rFonts w:ascii="Garamond" w:hAnsi="Garamond" w:cs="Arial"/>
          <w:bCs/>
          <w:sz w:val="24"/>
          <w:szCs w:val="24"/>
          <w:lang w:val="en-IN"/>
        </w:rPr>
        <w:t>reducing global carbon dioxide emissions by 45 per cent by 2030 relative to the 2010 level and to net zero around mid-century, as well as deep reductions in other greenhouse gases.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COP noted that the Paris Agreement goal of developed country Parties to  jointly  mobilize  USD100  billion  per  year  by  2020  in  the  context  of meaningful mitigation actions and transparency on implementation has not yet  been  met.  It  urged  developed  country  Parties  to  provide  enhanced support,  including  through  financial  resources,  technology  transfer  and capacity-building,  to  assist  developing  country  Parties  with  respect  to  both mitigation and adaptation.</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Globally, achieving the net-zero goal requires additional investments of USD12 to 20 trillion, i.e., 0.6 per cent to 1 per cent of the annual global GDP over the  next  two  decades.  70  percent  of  the  additional  investment  needs  to come  from  private  sources,  of  which  annual  clean  energy  investment  in emerging market and developing economies needs to increase to over USD1  trillion  by  2030.  The  COP26  Finance  Campaign  emphasizes  on  four  main pillars: (i) disclosures; (ii) risk management; (iii) alignment and net zero; and (iv) mobilization of capital and moving away from fossil fuel financing.</w:t>
      </w:r>
    </w:p>
    <w:p w:rsidR="007C775C" w:rsidRPr="007C775C" w:rsidRDefault="007C775C" w:rsidP="006F52A3">
      <w:pPr>
        <w:jc w:val="both"/>
        <w:rPr>
          <w:rFonts w:ascii="Garamond" w:hAnsi="Garamond" w:cs="Arial"/>
          <w:b/>
          <w:lang w:val="en-IN"/>
        </w:rPr>
      </w:pPr>
      <w:r w:rsidRPr="007C775C">
        <w:rPr>
          <w:rFonts w:ascii="Garamond" w:hAnsi="Garamond" w:cs="Arial"/>
          <w:b/>
          <w:lang w:val="en-IN"/>
        </w:rPr>
        <w:t>India’s commitment and policy initiatives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It is in this context that the “Panchamrit Doctrine” propounded by the</w:t>
      </w:r>
      <w:r>
        <w:rPr>
          <w:rFonts w:ascii="Garamond" w:hAnsi="Garamond" w:cs="Arial"/>
          <w:bCs/>
          <w:sz w:val="24"/>
          <w:szCs w:val="24"/>
          <w:lang w:val="en-IN"/>
        </w:rPr>
        <w:t xml:space="preserve"> </w:t>
      </w:r>
      <w:r w:rsidRPr="004114CB">
        <w:rPr>
          <w:rFonts w:ascii="Garamond" w:hAnsi="Garamond" w:cs="Arial"/>
          <w:bCs/>
          <w:sz w:val="24"/>
          <w:szCs w:val="24"/>
          <w:lang w:val="en-IN"/>
        </w:rPr>
        <w:t>Hon’ble Prime Minister at COP26 Summit becomes our roadmap. First, India will expand its non-fossil energy capacity to 500 GW by 2030. Second, India will meet 50 per cent of its energy requirements from renewable energy by 2030.  Third,  India  will  reduce  the  total  projected  carbon  emissions  by  one billion tonnes from now onwards till 2030. Fourth, by 2030, India will reduce the carbon intensity of its economy by less than 45 per cent. Fifth, by 2070, India will achieve the target of Net Zero. Today, India, with 17 per cent of the global population, is responsible for only 5 per cent of the global emissions.</w:t>
      </w:r>
      <w:r>
        <w:rPr>
          <w:rFonts w:ascii="Garamond" w:hAnsi="Garamond" w:cs="Arial"/>
          <w:bCs/>
          <w:sz w:val="24"/>
          <w:szCs w:val="24"/>
          <w:lang w:val="en-IN"/>
        </w:rPr>
        <w:t xml:space="preserve"> </w:t>
      </w:r>
      <w:r w:rsidRPr="004114CB">
        <w:rPr>
          <w:rFonts w:ascii="Garamond" w:hAnsi="Garamond" w:cs="Arial"/>
          <w:bCs/>
          <w:sz w:val="24"/>
          <w:szCs w:val="24"/>
          <w:lang w:val="en-IN"/>
        </w:rPr>
        <w:t>Yet, the Panchamrit calls for swift, coordinated and concerted actions by all of us.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Policy initiatives that are bound to make long lasting contribution to our path</w:t>
      </w:r>
      <w:r>
        <w:rPr>
          <w:rFonts w:ascii="Garamond" w:hAnsi="Garamond" w:cs="Arial"/>
          <w:bCs/>
          <w:sz w:val="24"/>
          <w:szCs w:val="24"/>
          <w:lang w:val="en-IN"/>
        </w:rPr>
        <w:t xml:space="preserve"> </w:t>
      </w:r>
      <w:r w:rsidRPr="004114CB">
        <w:rPr>
          <w:rFonts w:ascii="Garamond" w:hAnsi="Garamond" w:cs="Arial"/>
          <w:bCs/>
          <w:sz w:val="24"/>
          <w:szCs w:val="24"/>
          <w:lang w:val="en-IN"/>
        </w:rPr>
        <w:t>to  sustainable  economic  growth  include</w:t>
      </w:r>
      <w:r>
        <w:rPr>
          <w:rFonts w:ascii="Garamond" w:hAnsi="Garamond" w:cs="Arial"/>
          <w:bCs/>
          <w:sz w:val="24"/>
          <w:szCs w:val="24"/>
          <w:lang w:val="en-IN"/>
        </w:rPr>
        <w:t xml:space="preserve"> </w:t>
      </w:r>
      <w:r w:rsidRPr="004114CB">
        <w:rPr>
          <w:rFonts w:ascii="Garamond" w:hAnsi="Garamond" w:cs="Arial"/>
          <w:bCs/>
          <w:sz w:val="24"/>
          <w:szCs w:val="24"/>
          <w:lang w:val="en-IN"/>
        </w:rPr>
        <w:t>the  International  Solar  Alliance, Swachh  Bharat  Abhiyan,  Namami  Gange  Programme,  phasing  out  of  single use  plastics,  LED  bulb  campaign,  Faster  Adoption  and  Manufacturing  of Hybrid  and  Electric  Vehicles  (FAME)  Scheme,  vehicle  scrappage  policy,</w:t>
      </w:r>
      <w:r>
        <w:rPr>
          <w:rFonts w:ascii="Garamond" w:hAnsi="Garamond" w:cs="Arial"/>
          <w:bCs/>
          <w:sz w:val="24"/>
          <w:szCs w:val="24"/>
          <w:lang w:val="en-IN"/>
        </w:rPr>
        <w:t xml:space="preserve"> </w:t>
      </w:r>
      <w:r w:rsidRPr="004114CB">
        <w:rPr>
          <w:rFonts w:ascii="Garamond" w:hAnsi="Garamond" w:cs="Arial"/>
          <w:bCs/>
          <w:sz w:val="24"/>
          <w:szCs w:val="24"/>
          <w:lang w:val="en-IN"/>
        </w:rPr>
        <w:t>to name a few.</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India's non-fossil fuel energy has increased by more than 25 per cent in the last 7 years, accounting for 40 per cent of our energy mix now. Today, India is at number four in the world in installed renewable energy capacity. Indian Railways, whose annual passengers number more than the entire population of the world, has set a target of making itself "net zero" by 2030.</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lastRenderedPageBreak/>
        <w:t>Now I come to the role of markets in mainstreaming sustainability issues and furthering ESG investments.</w:t>
      </w:r>
    </w:p>
    <w:p w:rsidR="007C775C" w:rsidRPr="007C775C" w:rsidRDefault="007C775C" w:rsidP="006F52A3">
      <w:pPr>
        <w:jc w:val="both"/>
        <w:rPr>
          <w:rFonts w:ascii="Garamond" w:hAnsi="Garamond" w:cs="Arial"/>
          <w:b/>
          <w:lang w:val="en-IN"/>
        </w:rPr>
      </w:pPr>
      <w:r w:rsidRPr="007C775C">
        <w:rPr>
          <w:rFonts w:ascii="Garamond" w:hAnsi="Garamond" w:cs="Arial"/>
          <w:b/>
          <w:lang w:val="en-IN"/>
        </w:rPr>
        <w:t>Role of Regulators –Global Scenario</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Globally,  governments  and various international  bodies  continue  to  drive ESG   investment   considerations.   The   global   policy   forum   for   securities regulators,  International  Organization  for  Securities  Commissions  (IOSCO), has been focused on ensuring that investors receive timely, comprehensive and comparable information. In the context of ESG, to put simply, this implies getting the future risk and opportunities,</w:t>
      </w:r>
      <w:r>
        <w:rPr>
          <w:rFonts w:ascii="Garamond" w:hAnsi="Garamond" w:cs="Arial"/>
          <w:bCs/>
          <w:sz w:val="24"/>
          <w:szCs w:val="24"/>
          <w:lang w:val="en-IN"/>
        </w:rPr>
        <w:t xml:space="preserve"> </w:t>
      </w:r>
      <w:r w:rsidRPr="004114CB">
        <w:rPr>
          <w:rFonts w:ascii="Garamond" w:hAnsi="Garamond" w:cs="Arial"/>
          <w:bCs/>
          <w:sz w:val="24"/>
          <w:szCs w:val="24"/>
          <w:lang w:val="en-IN"/>
        </w:rPr>
        <w:t>which come with the transition to a net zero emissions world, into the pricing of the securities today.</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Three   priority   areas   that   IOSCO   has   envisaged   for   improvement   in sustainability-related  disclosures  by  companies  and  asset  managers  are  (i) Encouraging   Globally   Consistent   Standards;   (ii)   Promoting   Comparable Metrics  and  Narratives;  and  (iii)  Coordinating  Across  Approaches.  IOSCO identified the IFRS Foundation as the vehicle to develop a global baseline for investor-oriented disclosure</w:t>
      </w:r>
      <w:r>
        <w:rPr>
          <w:rFonts w:ascii="Garamond" w:hAnsi="Garamond" w:cs="Arial"/>
          <w:bCs/>
          <w:sz w:val="24"/>
          <w:szCs w:val="24"/>
          <w:lang w:val="en-IN"/>
        </w:rPr>
        <w:t xml:space="preserve"> </w:t>
      </w:r>
      <w:r w:rsidRPr="004114CB">
        <w:rPr>
          <w:rFonts w:ascii="Garamond" w:hAnsi="Garamond" w:cs="Arial"/>
          <w:bCs/>
          <w:sz w:val="24"/>
          <w:szCs w:val="24"/>
          <w:lang w:val="en-IN"/>
        </w:rPr>
        <w:t>standards. IOSCO’s Sustainable Finance Task Force (STF) is working on securities issuers’ sustainability disclosures, asset managers’ disclosures and investor protection and the role of ESG data and ratings providers.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IFRS  Foundation  has  announced  (i)  the  formation  of  the  International Sustainability  Standards  Board  (ISSB);  (ii)  the  consolidation  of  the  Climate Disclosure Standards Board and the Value Reporting Foundation; and (iii) the publication   of   prototype   climate   and   general   disclosure   requirements developed  by  the  Technical  Readiness  Working  Group.  It  is  envisaged  that the   ISSB   will   sit   alongside   and   work   in   close   cooperation   with   the International Accounting Standards Board (IASB), ensuring connectivity and compatibility  between  IFRS  Accounting  Standards  and  the  ISSB’s  IFRS Sustainability Disclosure Standards.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central banks globally are driving the efforts among the banks and the insurers</w:t>
      </w:r>
      <w:r>
        <w:rPr>
          <w:rFonts w:ascii="Garamond" w:hAnsi="Garamond" w:cs="Arial"/>
          <w:bCs/>
          <w:sz w:val="24"/>
          <w:szCs w:val="24"/>
          <w:lang w:val="en-IN"/>
        </w:rPr>
        <w:t xml:space="preserve"> </w:t>
      </w:r>
      <w:r w:rsidRPr="004114CB">
        <w:rPr>
          <w:rFonts w:ascii="Garamond" w:hAnsi="Garamond" w:cs="Arial"/>
          <w:bCs/>
          <w:sz w:val="24"/>
          <w:szCs w:val="24"/>
          <w:lang w:val="en-IN"/>
        </w:rPr>
        <w:t>to conduct climate stress tests, which  they will then review at the system  level.  The  Central  Banks  and  Supervisors  Network  for  Greening  the Financial System (NGFS) is a group of Central Banks and Supervisors willing, on   a   voluntary   basis,   to   exchange   experiences,   share   best   practices, contribute to the development of environment and climate risk management in  the  financial  sector  and  to  mobilize  mainstream  finance  to  support  the transition toward a sustainable economy.</w:t>
      </w:r>
    </w:p>
    <w:p w:rsidR="007C775C" w:rsidRPr="007C775C" w:rsidRDefault="007C775C" w:rsidP="006F52A3">
      <w:pPr>
        <w:jc w:val="both"/>
        <w:rPr>
          <w:rFonts w:ascii="Garamond" w:hAnsi="Garamond" w:cs="Arial"/>
          <w:b/>
          <w:lang w:val="en-IN"/>
        </w:rPr>
      </w:pPr>
      <w:r w:rsidRPr="007C775C">
        <w:rPr>
          <w:rFonts w:ascii="Garamond" w:hAnsi="Garamond" w:cs="Arial"/>
          <w:b/>
          <w:lang w:val="en-IN"/>
        </w:rPr>
        <w:t>Evolution of ESG in India</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Indian  investors  too,  are  showing  increased  interest  in  ESG  compliant companies  and  investment  products.  Business  sustainability  guidelines  in India  have  been  continuously  evolving  to  meet  the  dynamic  business environment   in   the   country.   In   2012,   SEBI   mandated   top   100   listed companies,    based    on    market    capitalization,    to    provide    Business Responsibility Reports; and for rest of the companies on voluntary basis.  The requirement for filing BRRs was extended to top 500 listed companies from 2015-16 and to top 1,000 listed entities from 2019-20.</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In  the  backdrop  of  global  developments  and  the  increasing  focus   on sustainability  investing, the  disclosure  requirements  under  the  BRR  were reviewed.   SEBI   radically   improved   the   ESG-</w:t>
      </w:r>
      <w:r w:rsidRPr="004114CB">
        <w:rPr>
          <w:rFonts w:ascii="Garamond" w:hAnsi="Garamond" w:cs="Arial"/>
          <w:bCs/>
          <w:sz w:val="24"/>
          <w:szCs w:val="24"/>
          <w:lang w:val="en-IN"/>
        </w:rPr>
        <w:lastRenderedPageBreak/>
        <w:t>related   reporting   with   the introduction of the Business Responsibility and Sustainability Report (BRSR) in May 2021.</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BRSR is a more outcome oriented reporting format, which lays considerable emphasis on  quantifiable metrics, which  allows for easy measurement and comparisons. BRSR requires listed companies to make disclosures related to nine principles covering both environment and social aspects such as climate action,  responsible  consumption  and  production,  gender  equality,  working conditions,</w:t>
      </w:r>
      <w:r>
        <w:rPr>
          <w:rFonts w:ascii="Garamond" w:hAnsi="Garamond" w:cs="Arial"/>
          <w:bCs/>
          <w:sz w:val="24"/>
          <w:szCs w:val="24"/>
          <w:lang w:val="en-IN"/>
        </w:rPr>
        <w:t xml:space="preserve"> </w:t>
      </w:r>
      <w:r w:rsidRPr="004114CB">
        <w:rPr>
          <w:rFonts w:ascii="Garamond" w:hAnsi="Garamond" w:cs="Arial"/>
          <w:bCs/>
          <w:sz w:val="24"/>
          <w:szCs w:val="24"/>
          <w:lang w:val="en-IN"/>
        </w:rPr>
        <w:t>etc.  The  BRSR  seeks  to  ensure  disclosure  of  the  listed  entity's material ESG risks and opportunities as well as the approach to mitigate or adapt to the risks along with financial implications of the same.</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structure of BRSR is segregated under essential or mandatory indicators and leadership or voluntary indicators. The leadership indicators also include disclosures  related  to  the  value  chain  of  the  reporting  listed  entities.  The</w:t>
      </w:r>
      <w:r>
        <w:rPr>
          <w:rFonts w:ascii="Garamond" w:hAnsi="Garamond" w:cs="Arial"/>
          <w:bCs/>
          <w:sz w:val="24"/>
          <w:szCs w:val="24"/>
          <w:lang w:val="en-IN"/>
        </w:rPr>
        <w:t xml:space="preserve"> </w:t>
      </w:r>
      <w:r w:rsidRPr="004114CB">
        <w:rPr>
          <w:rFonts w:ascii="Garamond" w:hAnsi="Garamond" w:cs="Arial"/>
          <w:bCs/>
          <w:sz w:val="24"/>
          <w:szCs w:val="24"/>
          <w:lang w:val="en-IN"/>
        </w:rPr>
        <w:t>BRSR is</w:t>
      </w:r>
      <w:r>
        <w:rPr>
          <w:rFonts w:ascii="Garamond" w:hAnsi="Garamond" w:cs="Arial"/>
          <w:bCs/>
          <w:sz w:val="24"/>
          <w:szCs w:val="24"/>
          <w:lang w:val="en-IN"/>
        </w:rPr>
        <w:t xml:space="preserve"> </w:t>
      </w:r>
      <w:r w:rsidRPr="004114CB">
        <w:rPr>
          <w:rFonts w:ascii="Garamond" w:hAnsi="Garamond" w:cs="Arial"/>
          <w:bCs/>
          <w:sz w:val="24"/>
          <w:szCs w:val="24"/>
          <w:lang w:val="en-IN"/>
        </w:rPr>
        <w:t>applicable to top 1,000 listed entities by capitalisation, for reporting on  a  voluntary  basis for2021-22  and on mandatory basis from  2022-23onwards.</w:t>
      </w:r>
    </w:p>
    <w:p w:rsidR="007C775C" w:rsidRPr="007C775C" w:rsidRDefault="007C775C" w:rsidP="006F52A3">
      <w:pPr>
        <w:jc w:val="both"/>
        <w:rPr>
          <w:rFonts w:ascii="Garamond" w:hAnsi="Garamond" w:cs="Arial"/>
          <w:b/>
          <w:lang w:val="en-IN"/>
        </w:rPr>
      </w:pPr>
      <w:r w:rsidRPr="007C775C">
        <w:rPr>
          <w:rFonts w:ascii="Garamond" w:hAnsi="Garamond" w:cs="Arial"/>
          <w:b/>
          <w:lang w:val="en-IN"/>
        </w:rPr>
        <w:t>ESG Investments in India</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
          <w:sz w:val="24"/>
          <w:szCs w:val="24"/>
          <w:lang w:val="en-IN"/>
        </w:rPr>
        <w:t>Mutual  Funds:</w:t>
      </w:r>
      <w:r>
        <w:rPr>
          <w:rFonts w:ascii="Garamond" w:hAnsi="Garamond" w:cs="Arial"/>
          <w:bCs/>
          <w:sz w:val="24"/>
          <w:szCs w:val="24"/>
          <w:lang w:val="en-IN"/>
        </w:rPr>
        <w:t xml:space="preserve"> </w:t>
      </w:r>
      <w:r w:rsidRPr="004114CB">
        <w:rPr>
          <w:rFonts w:ascii="Garamond" w:hAnsi="Garamond" w:cs="Arial"/>
          <w:bCs/>
          <w:sz w:val="24"/>
          <w:szCs w:val="24"/>
          <w:lang w:val="en-IN"/>
        </w:rPr>
        <w:t>From  an  investment  standpoint,  ESG  funds  are  rapidly expanding   in   the   Indian   Mutual   Fund   Industry.   Asset   Management Companies  (AMCs)have  been  launching  equity  schemes  in  the  ESG space under  thematic  category.  The  AMCs  are  also  launching  Exchange  Traded Funds (ETFs) and ETF Fund of Funds</w:t>
      </w:r>
      <w:r>
        <w:rPr>
          <w:rFonts w:ascii="Garamond" w:hAnsi="Garamond" w:cs="Arial"/>
          <w:bCs/>
          <w:sz w:val="24"/>
          <w:szCs w:val="24"/>
          <w:lang w:val="en-IN"/>
        </w:rPr>
        <w:t xml:space="preserve"> </w:t>
      </w:r>
      <w:r w:rsidRPr="004114CB">
        <w:rPr>
          <w:rFonts w:ascii="Garamond" w:hAnsi="Garamond" w:cs="Arial"/>
          <w:bCs/>
          <w:sz w:val="24"/>
          <w:szCs w:val="24"/>
          <w:lang w:val="en-IN"/>
        </w:rPr>
        <w:t>in ESG space. As on October 31, 2021, there were 11 mutual fund schemes in India having ESG as their theme with</w:t>
      </w:r>
      <w:r>
        <w:rPr>
          <w:rFonts w:ascii="Garamond" w:hAnsi="Garamond" w:cs="Arial"/>
          <w:bCs/>
          <w:sz w:val="24"/>
          <w:szCs w:val="24"/>
          <w:lang w:val="en-IN"/>
        </w:rPr>
        <w:t xml:space="preserve"> </w:t>
      </w:r>
      <w:r w:rsidRPr="004114CB">
        <w:rPr>
          <w:rFonts w:ascii="Garamond" w:hAnsi="Garamond" w:cs="Arial"/>
          <w:bCs/>
          <w:sz w:val="24"/>
          <w:szCs w:val="24"/>
          <w:lang w:val="en-IN"/>
        </w:rPr>
        <w:t>assets under management of over INR 13,000</w:t>
      </w:r>
      <w:r>
        <w:rPr>
          <w:rFonts w:ascii="Garamond" w:hAnsi="Garamond" w:cs="Arial"/>
          <w:bCs/>
          <w:sz w:val="24"/>
          <w:szCs w:val="24"/>
          <w:lang w:val="en-IN"/>
        </w:rPr>
        <w:t xml:space="preserve"> </w:t>
      </w:r>
      <w:r w:rsidRPr="004114CB">
        <w:rPr>
          <w:rFonts w:ascii="Garamond" w:hAnsi="Garamond" w:cs="Arial"/>
          <w:bCs/>
          <w:sz w:val="24"/>
          <w:szCs w:val="24"/>
          <w:lang w:val="en-IN"/>
        </w:rPr>
        <w:t>crore.</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These schemes have disclosures in their Scheme Information Documents in line  with  the  other  scheme  categories,  such  as  investment  objective,  asset allocation, investment strategy, investment restrictions,</w:t>
      </w:r>
      <w:r>
        <w:rPr>
          <w:rFonts w:ascii="Garamond" w:hAnsi="Garamond" w:cs="Arial"/>
          <w:bCs/>
          <w:sz w:val="24"/>
          <w:szCs w:val="24"/>
          <w:lang w:val="en-IN"/>
        </w:rPr>
        <w:t xml:space="preserve"> </w:t>
      </w:r>
      <w:r w:rsidRPr="004114CB">
        <w:rPr>
          <w:rFonts w:ascii="Garamond" w:hAnsi="Garamond" w:cs="Arial"/>
          <w:bCs/>
          <w:sz w:val="24"/>
          <w:szCs w:val="24"/>
          <w:lang w:val="en-IN"/>
        </w:rPr>
        <w:t>etc.</w:t>
      </w:r>
      <w:r>
        <w:rPr>
          <w:rFonts w:ascii="Garamond" w:hAnsi="Garamond" w:cs="Arial"/>
          <w:bCs/>
          <w:sz w:val="24"/>
          <w:szCs w:val="24"/>
          <w:lang w:val="en-IN"/>
        </w:rPr>
        <w:t xml:space="preserve"> </w:t>
      </w:r>
      <w:r w:rsidRPr="004114CB">
        <w:rPr>
          <w:rFonts w:ascii="Garamond" w:hAnsi="Garamond" w:cs="Arial"/>
          <w:bCs/>
          <w:sz w:val="24"/>
          <w:szCs w:val="24"/>
          <w:lang w:val="en-IN"/>
        </w:rPr>
        <w:t>and subsequent disclosures.</w:t>
      </w:r>
      <w:r>
        <w:rPr>
          <w:rFonts w:ascii="Garamond" w:hAnsi="Garamond" w:cs="Arial"/>
          <w:bCs/>
          <w:sz w:val="24"/>
          <w:szCs w:val="24"/>
          <w:lang w:val="en-IN"/>
        </w:rPr>
        <w:t xml:space="preserve"> </w:t>
      </w:r>
      <w:r w:rsidRPr="004114CB">
        <w:rPr>
          <w:rFonts w:ascii="Garamond" w:hAnsi="Garamond" w:cs="Arial"/>
          <w:bCs/>
          <w:sz w:val="24"/>
          <w:szCs w:val="24"/>
          <w:lang w:val="en-IN"/>
        </w:rPr>
        <w:t>However,  these  disclosures  often  do  not  bring  out clearly  all aspects  related  to  ESG  investing  including  investment  strategy,  usage  of proprietary / third-party scoring in investment decision-making, monitoring of  ESG  investments,  etc. SEBI  is  in  the  process  of  stipulating  disclosures specific to ESG Schemes.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
          <w:sz w:val="24"/>
          <w:szCs w:val="24"/>
          <w:lang w:val="en-IN"/>
        </w:rPr>
        <w:t>Green Bonds:</w:t>
      </w:r>
      <w:r>
        <w:rPr>
          <w:rFonts w:ascii="Garamond" w:hAnsi="Garamond" w:cs="Arial"/>
          <w:bCs/>
          <w:sz w:val="24"/>
          <w:szCs w:val="24"/>
          <w:lang w:val="en-IN"/>
        </w:rPr>
        <w:t xml:space="preserve"> </w:t>
      </w:r>
      <w:r w:rsidRPr="004114CB">
        <w:rPr>
          <w:rFonts w:ascii="Garamond" w:hAnsi="Garamond" w:cs="Arial"/>
          <w:bCs/>
          <w:sz w:val="24"/>
          <w:szCs w:val="24"/>
          <w:lang w:val="en-IN"/>
        </w:rPr>
        <w:t>In May  2017, SEBI issued guidelines for issuance and listing of  Green  Debt  Securities,  i.e.  bonds  which  raise  funds  for  exclusively financing  projects  in  areas  such  as  renewable</w:t>
      </w:r>
      <w:r>
        <w:rPr>
          <w:rFonts w:ascii="Garamond" w:hAnsi="Garamond" w:cs="Arial"/>
          <w:bCs/>
          <w:sz w:val="24"/>
          <w:szCs w:val="24"/>
          <w:lang w:val="en-IN"/>
        </w:rPr>
        <w:t xml:space="preserve"> </w:t>
      </w:r>
      <w:r w:rsidRPr="004114CB">
        <w:rPr>
          <w:rFonts w:ascii="Garamond" w:hAnsi="Garamond" w:cs="Arial"/>
          <w:bCs/>
          <w:sz w:val="24"/>
          <w:szCs w:val="24"/>
          <w:lang w:val="en-IN"/>
        </w:rPr>
        <w:t>and sustainable</w:t>
      </w:r>
      <w:r>
        <w:rPr>
          <w:rFonts w:ascii="Garamond" w:hAnsi="Garamond" w:cs="Arial"/>
          <w:bCs/>
          <w:sz w:val="24"/>
          <w:szCs w:val="24"/>
          <w:lang w:val="en-IN"/>
        </w:rPr>
        <w:t xml:space="preserve"> </w:t>
      </w:r>
      <w:r w:rsidRPr="004114CB">
        <w:rPr>
          <w:rFonts w:ascii="Garamond" w:hAnsi="Garamond" w:cs="Arial"/>
          <w:bCs/>
          <w:sz w:val="24"/>
          <w:szCs w:val="24"/>
          <w:lang w:val="en-IN"/>
        </w:rPr>
        <w:t>energy,  low carbon    transport</w:t>
      </w:r>
      <w:r>
        <w:rPr>
          <w:rFonts w:ascii="Garamond" w:hAnsi="Garamond" w:cs="Arial"/>
          <w:bCs/>
          <w:sz w:val="24"/>
          <w:szCs w:val="24"/>
          <w:lang w:val="en-IN"/>
        </w:rPr>
        <w:t xml:space="preserve"> </w:t>
      </w:r>
      <w:r w:rsidRPr="004114CB">
        <w:rPr>
          <w:rFonts w:ascii="Garamond" w:hAnsi="Garamond" w:cs="Arial"/>
          <w:bCs/>
          <w:sz w:val="24"/>
          <w:szCs w:val="24"/>
          <w:lang w:val="en-IN"/>
        </w:rPr>
        <w:t>modes,    sustainable    land    use,    water    and    waste management,  climate  change  adaptation,  energy  efficiency,  bio  diversity</w:t>
      </w:r>
      <w:r>
        <w:rPr>
          <w:rFonts w:ascii="Garamond" w:hAnsi="Garamond" w:cs="Arial"/>
          <w:bCs/>
          <w:sz w:val="24"/>
          <w:szCs w:val="24"/>
          <w:lang w:val="en-IN"/>
        </w:rPr>
        <w:t xml:space="preserve"> </w:t>
      </w:r>
      <w:r w:rsidRPr="004114CB">
        <w:rPr>
          <w:rFonts w:ascii="Garamond" w:hAnsi="Garamond" w:cs="Arial"/>
          <w:bCs/>
          <w:sz w:val="24"/>
          <w:szCs w:val="24"/>
          <w:lang w:val="en-IN"/>
        </w:rPr>
        <w:t>conservation,</w:t>
      </w:r>
      <w:r>
        <w:rPr>
          <w:rFonts w:ascii="Garamond" w:hAnsi="Garamond" w:cs="Arial"/>
          <w:bCs/>
          <w:sz w:val="24"/>
          <w:szCs w:val="24"/>
          <w:lang w:val="en-IN"/>
        </w:rPr>
        <w:t xml:space="preserve"> </w:t>
      </w:r>
      <w:r w:rsidRPr="004114CB">
        <w:rPr>
          <w:rFonts w:ascii="Garamond" w:hAnsi="Garamond" w:cs="Arial"/>
          <w:bCs/>
          <w:sz w:val="24"/>
          <w:szCs w:val="24"/>
          <w:lang w:val="en-IN"/>
        </w:rPr>
        <w:t>etc.  Since  2016-17,  there  have  been  19 issuances</w:t>
      </w:r>
      <w:r>
        <w:rPr>
          <w:rFonts w:ascii="Garamond" w:hAnsi="Garamond" w:cs="Arial"/>
          <w:bCs/>
          <w:sz w:val="24"/>
          <w:szCs w:val="24"/>
          <w:lang w:val="en-IN"/>
        </w:rPr>
        <w:t xml:space="preserve"> </w:t>
      </w:r>
      <w:r w:rsidRPr="004114CB">
        <w:rPr>
          <w:rFonts w:ascii="Garamond" w:hAnsi="Garamond" w:cs="Arial"/>
          <w:bCs/>
          <w:sz w:val="24"/>
          <w:szCs w:val="24"/>
          <w:lang w:val="en-IN"/>
        </w:rPr>
        <w:t>of  green bonds in India which together mobilized INR 5,819 crore.</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Growing awareness and demand for green bonds is evidenced by the recent issue of green bonds by the Ghaziabad Municipal Corporation, which raised INR 150 crore for the construction of a tertiary treatment sewage plant. The market  for  green  bonds  in  India  is  reasonably  expected  to  grow  in  the backdrop  of  the  ambitious  target  set  by  India’s  Intended  Nationally Determined Contribution (INDC) for achieving climate change objective and funding requirement of USD2.5 trillion.</w:t>
      </w:r>
    </w:p>
    <w:p w:rsidR="001446E9" w:rsidRPr="001446E9" w:rsidRDefault="001446E9" w:rsidP="001446E9">
      <w:pPr>
        <w:pStyle w:val="ListParagraph"/>
        <w:rPr>
          <w:rFonts w:ascii="Garamond" w:hAnsi="Garamond" w:cs="Arial"/>
          <w:bCs/>
          <w:sz w:val="24"/>
          <w:szCs w:val="24"/>
          <w:lang w:val="en-IN"/>
        </w:rPr>
      </w:pPr>
    </w:p>
    <w:p w:rsidR="001446E9" w:rsidRDefault="001446E9" w:rsidP="001446E9">
      <w:pPr>
        <w:jc w:val="both"/>
        <w:rPr>
          <w:rFonts w:ascii="Garamond" w:hAnsi="Garamond" w:cs="Arial"/>
          <w:bCs/>
          <w:lang w:val="en-IN"/>
        </w:rPr>
      </w:pPr>
    </w:p>
    <w:p w:rsidR="001446E9" w:rsidRPr="001446E9" w:rsidRDefault="001446E9" w:rsidP="001446E9">
      <w:pPr>
        <w:jc w:val="both"/>
        <w:rPr>
          <w:rFonts w:ascii="Garamond" w:hAnsi="Garamond" w:cs="Arial"/>
          <w:bCs/>
          <w:lang w:val="en-IN"/>
        </w:rPr>
      </w:pPr>
    </w:p>
    <w:p w:rsidR="007C775C" w:rsidRPr="007C775C" w:rsidRDefault="007C775C" w:rsidP="006F52A3">
      <w:pPr>
        <w:jc w:val="both"/>
        <w:rPr>
          <w:rFonts w:ascii="Garamond" w:hAnsi="Garamond" w:cs="Arial"/>
          <w:b/>
          <w:lang w:val="en-IN"/>
        </w:rPr>
      </w:pPr>
      <w:r w:rsidRPr="007C775C">
        <w:rPr>
          <w:rFonts w:ascii="Garamond" w:hAnsi="Garamond" w:cs="Arial"/>
          <w:b/>
          <w:lang w:val="en-IN"/>
        </w:rPr>
        <w:lastRenderedPageBreak/>
        <w:t>Interest in ESG rating</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introduction  of  BRSR  and  launch  of  ESG  Mutual  Fund  schemes  have generated  interest  in  ESG  Ratings  as  a  way  for  ESG</w:t>
      </w:r>
      <w:r>
        <w:rPr>
          <w:rFonts w:ascii="Garamond" w:hAnsi="Garamond" w:cs="Arial"/>
          <w:bCs/>
          <w:sz w:val="24"/>
          <w:szCs w:val="24"/>
          <w:lang w:val="en-IN"/>
        </w:rPr>
        <w:t xml:space="preserve"> </w:t>
      </w:r>
      <w:r w:rsidRPr="004114CB">
        <w:rPr>
          <w:rFonts w:ascii="Garamond" w:hAnsi="Garamond" w:cs="Arial"/>
          <w:bCs/>
          <w:sz w:val="24"/>
          <w:szCs w:val="24"/>
          <w:lang w:val="en-IN"/>
        </w:rPr>
        <w:t>disclosures  by  listed issuers  to  aid  investors  meaningfully  integrate  ESG  into  their  investment decisions.  In  this backdrop,  SEBI  is  examining  the  disclosure  of  ESG  related aspects in the rating press release by Credit Rating Agencies.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Further,  in  the  recent  years,  increasing  investor  demand  for  companies  to demonstrate  high  ethical  and  moral  standards  has  compelled  managers</w:t>
      </w:r>
      <w:r>
        <w:rPr>
          <w:rFonts w:ascii="Garamond" w:hAnsi="Garamond" w:cs="Arial"/>
          <w:bCs/>
          <w:sz w:val="24"/>
          <w:szCs w:val="24"/>
          <w:lang w:val="en-IN"/>
        </w:rPr>
        <w:t xml:space="preserve"> </w:t>
      </w:r>
      <w:r w:rsidRPr="004114CB">
        <w:rPr>
          <w:rFonts w:ascii="Garamond" w:hAnsi="Garamond" w:cs="Arial"/>
          <w:bCs/>
          <w:sz w:val="24"/>
          <w:szCs w:val="24"/>
          <w:lang w:val="en-IN"/>
        </w:rPr>
        <w:t>of private capital to identify ESG compliant startups to form a significant part of their portfolio.  As a result, ESG ratings have become equally important for unlisted companies.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Typically, ESG rating providers aim to measure either (a) the  exposure of a company to ESG risks, or (b) the assessment of a company on its ESG profile. There  continues  to  be  a  lack  of  clarity  on  what  the  ESG  ratings  intend  to measure   and   the   rating   methodologies   are   often   not   transparent. Consequently,  ESG  ratings  or  scores  of a  company  may  vary  significantly</w:t>
      </w:r>
      <w:r>
        <w:rPr>
          <w:rFonts w:ascii="Garamond" w:hAnsi="Garamond" w:cs="Arial"/>
          <w:bCs/>
          <w:sz w:val="24"/>
          <w:szCs w:val="24"/>
          <w:lang w:val="en-IN"/>
        </w:rPr>
        <w:t xml:space="preserve"> </w:t>
      </w:r>
      <w:r w:rsidRPr="004114CB">
        <w:rPr>
          <w:rFonts w:ascii="Garamond" w:hAnsi="Garamond" w:cs="Arial"/>
          <w:bCs/>
          <w:sz w:val="24"/>
          <w:szCs w:val="24"/>
          <w:lang w:val="en-IN"/>
        </w:rPr>
        <w:t>across  different  rating  providers.  Given  these  challenges  and  the  nascent nature of the industry, major ESG ratings providers are typically not regulated in any jurisdiction.</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The  IOSCO  has  recently  published  its  report  on ‘ESG  Ratings  and  ESG  Data Providers’, wherein it called for oversight of such rating providers. The report recommended greater attention by regulators on the use of ESG ratings and activities  of  ESG  rating  providers  in  their  jurisdictions.  This  could  help to increase  trust  in  ESG  ratings  going  forward.  Additionally,  growing  investor interest  in  ESG  has  also  prompted  many  regulators  to  examine  the  issues related to ESG ratings.</w:t>
      </w:r>
    </w:p>
    <w:p w:rsidR="004114CB" w:rsidRPr="004114CB" w:rsidRDefault="004114CB" w:rsidP="006F52A3">
      <w:pPr>
        <w:pStyle w:val="ListParagraph"/>
        <w:jc w:val="both"/>
        <w:rPr>
          <w:rFonts w:ascii="Garamond" w:hAnsi="Garamond" w:cs="Arial"/>
          <w:bCs/>
          <w:sz w:val="24"/>
          <w:szCs w:val="24"/>
          <w:lang w:val="en-IN"/>
        </w:rPr>
      </w:pPr>
    </w:p>
    <w:p w:rsidR="004114CB" w:rsidRDefault="004114CB" w:rsidP="004E40DA">
      <w:pPr>
        <w:pStyle w:val="ListParagraph"/>
        <w:numPr>
          <w:ilvl w:val="0"/>
          <w:numId w:val="13"/>
        </w:numPr>
        <w:jc w:val="both"/>
        <w:rPr>
          <w:rFonts w:ascii="Garamond" w:hAnsi="Garamond" w:cs="Arial"/>
          <w:bCs/>
          <w:sz w:val="24"/>
          <w:szCs w:val="24"/>
          <w:lang w:val="en-IN"/>
        </w:rPr>
      </w:pPr>
      <w:r w:rsidRPr="004114CB">
        <w:rPr>
          <w:rFonts w:ascii="Garamond" w:hAnsi="Garamond" w:cs="Arial"/>
          <w:bCs/>
          <w:sz w:val="24"/>
          <w:szCs w:val="24"/>
          <w:lang w:val="en-IN"/>
        </w:rPr>
        <w:t>In line with global trends, SEBI is looking at what could be the regulatory and supervisory approaches for ESG rating providers.</w:t>
      </w:r>
    </w:p>
    <w:p w:rsidR="007C775C" w:rsidRPr="007C775C" w:rsidRDefault="007C775C" w:rsidP="006F52A3">
      <w:pPr>
        <w:jc w:val="both"/>
        <w:rPr>
          <w:rFonts w:ascii="Garamond" w:hAnsi="Garamond" w:cs="Arial"/>
          <w:b/>
          <w:lang w:val="en-IN"/>
        </w:rPr>
      </w:pPr>
      <w:r w:rsidRPr="007C775C">
        <w:rPr>
          <w:rFonts w:ascii="Garamond" w:hAnsi="Garamond" w:cs="Arial"/>
          <w:b/>
          <w:lang w:val="en-IN"/>
        </w:rPr>
        <w:t>Research in ESG</w:t>
      </w:r>
    </w:p>
    <w:p w:rsidR="004114CB" w:rsidRPr="004114CB" w:rsidRDefault="004114CB" w:rsidP="006F52A3">
      <w:pPr>
        <w:pStyle w:val="ListParagraph"/>
        <w:jc w:val="both"/>
        <w:rPr>
          <w:rFonts w:ascii="Garamond" w:hAnsi="Garamond" w:cs="Arial"/>
          <w:bCs/>
          <w:sz w:val="24"/>
          <w:szCs w:val="24"/>
          <w:lang w:val="en-IN"/>
        </w:rPr>
      </w:pPr>
    </w:p>
    <w:p w:rsidR="004114CB" w:rsidRDefault="007C775C" w:rsidP="004E40DA">
      <w:pPr>
        <w:pStyle w:val="ListParagraph"/>
        <w:numPr>
          <w:ilvl w:val="0"/>
          <w:numId w:val="13"/>
        </w:numPr>
        <w:jc w:val="both"/>
        <w:rPr>
          <w:rFonts w:ascii="Garamond" w:hAnsi="Garamond" w:cs="Arial"/>
          <w:bCs/>
          <w:sz w:val="24"/>
          <w:szCs w:val="24"/>
          <w:lang w:val="en-IN"/>
        </w:rPr>
      </w:pPr>
      <w:r w:rsidRPr="007C775C">
        <w:rPr>
          <w:rFonts w:ascii="Garamond" w:hAnsi="Garamond" w:cs="Arial"/>
          <w:bCs/>
          <w:sz w:val="24"/>
          <w:szCs w:val="24"/>
          <w:lang w:val="en-IN"/>
        </w:rPr>
        <w:t>If ESG norms are to add value to businesses and investments, it is necessary to    have    a    thorough    understanding    of    the    inter-linkages    between ‘Environment’, ‘Social’ and ‘Governance’ factors and</w:t>
      </w:r>
      <w:r>
        <w:rPr>
          <w:rFonts w:ascii="Garamond" w:hAnsi="Garamond" w:cs="Arial"/>
          <w:bCs/>
          <w:sz w:val="24"/>
          <w:szCs w:val="24"/>
          <w:lang w:val="en-IN"/>
        </w:rPr>
        <w:t xml:space="preserve"> </w:t>
      </w:r>
      <w:r w:rsidRPr="007C775C">
        <w:rPr>
          <w:rFonts w:ascii="Garamond" w:hAnsi="Garamond" w:cs="Arial"/>
          <w:bCs/>
          <w:sz w:val="24"/>
          <w:szCs w:val="24"/>
          <w:lang w:val="en-IN"/>
        </w:rPr>
        <w:t>their  individual  and collective impact on a company’s sustainability and its business ecosystem. This  requires  identification  of  standardized  and  quantifiable  performance indicators.  For  example,  these  factors  may  include  work  place  safety, customer</w:t>
      </w:r>
      <w:r>
        <w:rPr>
          <w:rFonts w:ascii="Garamond" w:hAnsi="Garamond" w:cs="Arial"/>
          <w:bCs/>
          <w:sz w:val="24"/>
          <w:szCs w:val="24"/>
          <w:lang w:val="en-IN"/>
        </w:rPr>
        <w:t xml:space="preserve"> </w:t>
      </w:r>
      <w:r w:rsidRPr="007C775C">
        <w:rPr>
          <w:rFonts w:ascii="Garamond" w:hAnsi="Garamond" w:cs="Arial"/>
          <w:bCs/>
          <w:sz w:val="24"/>
          <w:szCs w:val="24"/>
          <w:lang w:val="en-IN"/>
        </w:rPr>
        <w:t>relations, personnel diversity and inclusion, etc.</w:t>
      </w:r>
    </w:p>
    <w:p w:rsidR="007C775C" w:rsidRPr="007C775C" w:rsidRDefault="007C775C" w:rsidP="006F52A3">
      <w:pPr>
        <w:pStyle w:val="ListParagraph"/>
        <w:jc w:val="both"/>
        <w:rPr>
          <w:rFonts w:ascii="Garamond" w:hAnsi="Garamond" w:cs="Arial"/>
          <w:bCs/>
          <w:sz w:val="24"/>
          <w:szCs w:val="24"/>
          <w:lang w:val="en-IN"/>
        </w:rPr>
      </w:pPr>
    </w:p>
    <w:p w:rsidR="007C775C" w:rsidRDefault="007C775C" w:rsidP="004E40DA">
      <w:pPr>
        <w:pStyle w:val="ListParagraph"/>
        <w:numPr>
          <w:ilvl w:val="0"/>
          <w:numId w:val="13"/>
        </w:numPr>
        <w:jc w:val="both"/>
        <w:rPr>
          <w:rFonts w:ascii="Garamond" w:hAnsi="Garamond" w:cs="Arial"/>
          <w:bCs/>
          <w:sz w:val="24"/>
          <w:szCs w:val="24"/>
          <w:lang w:val="en-IN"/>
        </w:rPr>
      </w:pPr>
      <w:r w:rsidRPr="007C775C">
        <w:rPr>
          <w:rFonts w:ascii="Garamond" w:hAnsi="Garamond" w:cs="Arial"/>
          <w:bCs/>
          <w:sz w:val="24"/>
          <w:szCs w:val="24"/>
          <w:lang w:val="en-IN"/>
        </w:rPr>
        <w:t>In depth research on ESG norms is the need of the hour, with focus towards developing high quality, objective, content-specific rating matrices. Research should focus on identifying factors or constituents of</w:t>
      </w:r>
      <w:r>
        <w:rPr>
          <w:rFonts w:ascii="Garamond" w:hAnsi="Garamond" w:cs="Arial"/>
          <w:bCs/>
          <w:sz w:val="24"/>
          <w:szCs w:val="24"/>
          <w:lang w:val="en-IN"/>
        </w:rPr>
        <w:t xml:space="preserve"> </w:t>
      </w:r>
      <w:r w:rsidRPr="007C775C">
        <w:rPr>
          <w:rFonts w:ascii="Garamond" w:hAnsi="Garamond" w:cs="Arial"/>
          <w:bCs/>
          <w:sz w:val="24"/>
          <w:szCs w:val="24"/>
          <w:lang w:val="en-IN"/>
        </w:rPr>
        <w:t>measuring ESG which are specific to the company’s region, country and industry, their calculation and relative weights in the overall ESG framework. After all, an Information</w:t>
      </w:r>
      <w:r>
        <w:rPr>
          <w:rFonts w:ascii="Garamond" w:hAnsi="Garamond" w:cs="Arial"/>
          <w:bCs/>
          <w:sz w:val="24"/>
          <w:szCs w:val="24"/>
          <w:lang w:val="en-IN"/>
        </w:rPr>
        <w:t xml:space="preserve"> </w:t>
      </w:r>
      <w:r w:rsidRPr="007C775C">
        <w:rPr>
          <w:rFonts w:ascii="Garamond" w:hAnsi="Garamond" w:cs="Arial"/>
          <w:bCs/>
          <w:sz w:val="24"/>
          <w:szCs w:val="24"/>
          <w:lang w:val="en-IN"/>
        </w:rPr>
        <w:t>Technology  Service  Provider  should  not  be  assessed  in  the  same  way  as  a Petroleum Refinery! Further, in today’s dynamic business environment, the components of ESG are continuously evolving and the rating matrices should have the ability to adapt quickly to such changes.</w:t>
      </w:r>
    </w:p>
    <w:p w:rsidR="001446E9" w:rsidRPr="001446E9" w:rsidRDefault="001446E9" w:rsidP="001446E9">
      <w:pPr>
        <w:pStyle w:val="ListParagraph"/>
        <w:rPr>
          <w:rFonts w:ascii="Garamond" w:hAnsi="Garamond" w:cs="Arial"/>
          <w:bCs/>
          <w:sz w:val="24"/>
          <w:szCs w:val="24"/>
          <w:lang w:val="en-IN"/>
        </w:rPr>
      </w:pPr>
    </w:p>
    <w:p w:rsidR="001446E9" w:rsidRDefault="001446E9" w:rsidP="001446E9">
      <w:pPr>
        <w:pStyle w:val="ListParagraph"/>
        <w:ind w:left="360"/>
        <w:jc w:val="both"/>
        <w:rPr>
          <w:rFonts w:ascii="Garamond" w:hAnsi="Garamond" w:cs="Arial"/>
          <w:bCs/>
          <w:sz w:val="24"/>
          <w:szCs w:val="24"/>
          <w:lang w:val="en-IN"/>
        </w:rPr>
      </w:pPr>
    </w:p>
    <w:p w:rsidR="007C775C" w:rsidRPr="007C775C" w:rsidRDefault="007C775C" w:rsidP="006F52A3">
      <w:pPr>
        <w:jc w:val="both"/>
        <w:rPr>
          <w:rFonts w:ascii="Garamond" w:hAnsi="Garamond" w:cs="Arial"/>
          <w:b/>
          <w:lang w:val="en-IN"/>
        </w:rPr>
      </w:pPr>
      <w:r w:rsidRPr="007C775C">
        <w:rPr>
          <w:rFonts w:ascii="Garamond" w:hAnsi="Garamond" w:cs="Arial"/>
          <w:b/>
          <w:lang w:val="en-IN"/>
        </w:rPr>
        <w:lastRenderedPageBreak/>
        <w:t>Concluding Remarks</w:t>
      </w:r>
    </w:p>
    <w:p w:rsidR="007C775C" w:rsidRPr="007C775C" w:rsidRDefault="007C775C" w:rsidP="006F52A3">
      <w:pPr>
        <w:pStyle w:val="ListParagraph"/>
        <w:jc w:val="both"/>
        <w:rPr>
          <w:rFonts w:ascii="Garamond" w:hAnsi="Garamond" w:cs="Arial"/>
          <w:bCs/>
          <w:sz w:val="24"/>
          <w:szCs w:val="24"/>
          <w:lang w:val="en-IN"/>
        </w:rPr>
      </w:pPr>
    </w:p>
    <w:p w:rsidR="007C775C" w:rsidRDefault="007C775C" w:rsidP="004E40DA">
      <w:pPr>
        <w:pStyle w:val="ListParagraph"/>
        <w:numPr>
          <w:ilvl w:val="0"/>
          <w:numId w:val="13"/>
        </w:numPr>
        <w:jc w:val="both"/>
        <w:rPr>
          <w:rFonts w:ascii="Garamond" w:hAnsi="Garamond" w:cs="Arial"/>
          <w:bCs/>
          <w:sz w:val="24"/>
          <w:szCs w:val="24"/>
          <w:lang w:val="en-IN"/>
        </w:rPr>
      </w:pPr>
      <w:r w:rsidRPr="007C775C">
        <w:rPr>
          <w:rFonts w:ascii="Garamond" w:hAnsi="Garamond" w:cs="Arial"/>
          <w:bCs/>
          <w:sz w:val="24"/>
          <w:szCs w:val="24"/>
          <w:lang w:val="en-IN"/>
        </w:rPr>
        <w:t>The priority of the 21st century is not just economic growth, but sustainable and inclusive development. Nothing sums up these priorities as the acronym ESG.  Considering  the  diversity  in  business  models,  ecological  implications, cultural  nuances  which  have</w:t>
      </w:r>
      <w:r>
        <w:rPr>
          <w:rFonts w:ascii="Garamond" w:hAnsi="Garamond" w:cs="Arial"/>
          <w:bCs/>
          <w:sz w:val="24"/>
          <w:szCs w:val="24"/>
          <w:lang w:val="en-IN"/>
        </w:rPr>
        <w:t xml:space="preserve"> </w:t>
      </w:r>
      <w:r w:rsidRPr="007C775C">
        <w:rPr>
          <w:rFonts w:ascii="Garamond" w:hAnsi="Garamond" w:cs="Arial"/>
          <w:bCs/>
          <w:sz w:val="24"/>
          <w:szCs w:val="24"/>
          <w:lang w:val="en-IN"/>
        </w:rPr>
        <w:t>implications for companies’ dealings with employees, customers and channel partners, etc. the landscape for research in ESG is vast and extensive. It is my considered opinion that research in</w:t>
      </w:r>
      <w:r>
        <w:rPr>
          <w:rFonts w:ascii="Garamond" w:hAnsi="Garamond" w:cs="Arial"/>
          <w:bCs/>
          <w:sz w:val="24"/>
          <w:szCs w:val="24"/>
          <w:lang w:val="en-IN"/>
        </w:rPr>
        <w:t xml:space="preserve"> </w:t>
      </w:r>
      <w:r w:rsidRPr="007C775C">
        <w:rPr>
          <w:rFonts w:ascii="Garamond" w:hAnsi="Garamond" w:cs="Arial"/>
          <w:bCs/>
          <w:sz w:val="24"/>
          <w:szCs w:val="24"/>
          <w:lang w:val="en-IN"/>
        </w:rPr>
        <w:t>ESG can go a long way towards converting intangible and amorphous variables of business to measurable and quantifiable returns, both financial and social.</w:t>
      </w:r>
    </w:p>
    <w:p w:rsidR="007C775C" w:rsidRPr="007C775C" w:rsidRDefault="007C775C" w:rsidP="006F52A3">
      <w:pPr>
        <w:pStyle w:val="ListParagraph"/>
        <w:jc w:val="both"/>
        <w:rPr>
          <w:rFonts w:ascii="Garamond" w:hAnsi="Garamond" w:cs="Arial"/>
          <w:bCs/>
          <w:sz w:val="24"/>
          <w:szCs w:val="24"/>
          <w:lang w:val="en-IN"/>
        </w:rPr>
      </w:pPr>
    </w:p>
    <w:p w:rsidR="007C775C" w:rsidRDefault="007C775C" w:rsidP="004E40DA">
      <w:pPr>
        <w:pStyle w:val="ListParagraph"/>
        <w:numPr>
          <w:ilvl w:val="0"/>
          <w:numId w:val="13"/>
        </w:numPr>
        <w:jc w:val="both"/>
        <w:rPr>
          <w:rFonts w:ascii="Garamond" w:hAnsi="Garamond" w:cs="Arial"/>
          <w:bCs/>
          <w:sz w:val="24"/>
          <w:szCs w:val="24"/>
          <w:lang w:val="en-IN"/>
        </w:rPr>
      </w:pPr>
      <w:r w:rsidRPr="007C775C">
        <w:rPr>
          <w:rFonts w:ascii="Garamond" w:hAnsi="Garamond" w:cs="Arial"/>
          <w:bCs/>
          <w:sz w:val="24"/>
          <w:szCs w:val="24"/>
          <w:lang w:val="en-IN"/>
        </w:rPr>
        <w:t>A dedicated Research Centre for ESG has the potential to spearhead the drive towards enmeshing ESG standards into the foundations of India Inc. I hope this Centre for ESG Research and Innovation plays a crucial role in promoting policy-oriented research as well as innovations in the field of ESG.</w:t>
      </w:r>
    </w:p>
    <w:p w:rsidR="007C775C" w:rsidRPr="007C775C" w:rsidRDefault="007C775C" w:rsidP="007C775C">
      <w:pPr>
        <w:pStyle w:val="ListParagraph"/>
        <w:rPr>
          <w:rFonts w:ascii="Garamond" w:hAnsi="Garamond" w:cs="Arial"/>
          <w:bCs/>
          <w:sz w:val="24"/>
          <w:szCs w:val="24"/>
          <w:lang w:val="en-IN"/>
        </w:rPr>
      </w:pPr>
    </w:p>
    <w:p w:rsidR="007C775C" w:rsidRDefault="007C775C" w:rsidP="007C775C">
      <w:pPr>
        <w:rPr>
          <w:rFonts w:ascii="Garamond" w:hAnsi="Garamond" w:cs="Arial"/>
          <w:bCs/>
          <w:lang w:val="en-IN"/>
        </w:rPr>
      </w:pPr>
      <w:r w:rsidRPr="007C775C">
        <w:rPr>
          <w:rFonts w:ascii="Garamond" w:hAnsi="Garamond" w:cs="Arial"/>
          <w:bCs/>
          <w:lang w:val="en-IN"/>
        </w:rPr>
        <w:t xml:space="preserve">I wish you all the very best. </w:t>
      </w:r>
    </w:p>
    <w:p w:rsidR="007C775C" w:rsidRDefault="007C775C" w:rsidP="007C775C">
      <w:pPr>
        <w:rPr>
          <w:rFonts w:ascii="Garamond" w:hAnsi="Garamond" w:cs="Arial"/>
          <w:bCs/>
          <w:lang w:val="en-IN"/>
        </w:rPr>
      </w:pPr>
    </w:p>
    <w:p w:rsidR="007C775C" w:rsidRDefault="007C775C" w:rsidP="007C775C">
      <w:pPr>
        <w:rPr>
          <w:rFonts w:ascii="Garamond" w:hAnsi="Garamond" w:cs="Arial"/>
          <w:bCs/>
          <w:lang w:val="en-IN"/>
        </w:rPr>
      </w:pPr>
      <w:r>
        <w:rPr>
          <w:rFonts w:ascii="Garamond" w:hAnsi="Garamond" w:cs="Arial"/>
          <w:bCs/>
          <w:lang w:val="en-IN"/>
        </w:rPr>
        <w:t>Thank you.</w:t>
      </w: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331B8" w:rsidRDefault="00A331B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87248" w:rsidRDefault="00A87248" w:rsidP="007C775C">
      <w:pPr>
        <w:rPr>
          <w:rFonts w:ascii="Garamond" w:hAnsi="Garamond" w:cs="Arial"/>
          <w:bCs/>
          <w:lang w:val="en-IN"/>
        </w:rPr>
      </w:pPr>
    </w:p>
    <w:p w:rsidR="00A331B8" w:rsidRDefault="00A331B8" w:rsidP="007C775C">
      <w:pPr>
        <w:rPr>
          <w:rFonts w:ascii="Garamond" w:hAnsi="Garamond" w:cs="Arial"/>
          <w:bCs/>
          <w:lang w:val="en-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E24D5D" w:rsidRPr="00966FBB" w:rsidRDefault="00E24D5D" w:rsidP="00A331B8">
      <w:pPr>
        <w:shd w:val="clear" w:color="auto" w:fill="FFFFFF"/>
        <w:jc w:val="center"/>
        <w:rPr>
          <w:rFonts w:ascii="Garamond" w:eastAsia="Times New Roman" w:hAnsi="Garamond" w:cs="Arial"/>
          <w:b/>
          <w:bCs/>
          <w:color w:val="1F4E79"/>
          <w:sz w:val="28"/>
          <w:szCs w:val="28"/>
          <w:lang w:val="en-US" w:bidi="hi-IN"/>
        </w:rPr>
      </w:pPr>
    </w:p>
    <w:p w:rsidR="00A331B8" w:rsidRPr="00966FBB" w:rsidRDefault="00A331B8" w:rsidP="00BC3433">
      <w:pPr>
        <w:shd w:val="clear" w:color="auto" w:fill="FFFFFF"/>
        <w:jc w:val="center"/>
        <w:rPr>
          <w:rFonts w:ascii="Garamond" w:eastAsia="Times New Roman" w:hAnsi="Garamond" w:cs="Arial"/>
          <w:b/>
          <w:bCs/>
          <w:color w:val="1F4E79"/>
          <w:sz w:val="28"/>
          <w:szCs w:val="28"/>
          <w:lang w:val="en-US" w:bidi="hi-IN"/>
        </w:rPr>
      </w:pPr>
      <w:r w:rsidRPr="00966FBB">
        <w:rPr>
          <w:rFonts w:ascii="Garamond" w:eastAsia="Times New Roman" w:hAnsi="Garamond" w:cs="Arial"/>
          <w:b/>
          <w:bCs/>
          <w:color w:val="1F4E79"/>
          <w:sz w:val="28"/>
          <w:szCs w:val="28"/>
          <w:lang w:val="en-US" w:bidi="hi-IN"/>
        </w:rPr>
        <w:lastRenderedPageBreak/>
        <w:t>SPEECH</w:t>
      </w:r>
      <w:r w:rsidR="00703A0B" w:rsidRPr="00966FBB">
        <w:rPr>
          <w:rStyle w:val="FootnoteReference"/>
          <w:rFonts w:ascii="Garamond" w:eastAsia="Times New Roman" w:hAnsi="Garamond" w:cs="Arial"/>
          <w:b/>
          <w:bCs/>
          <w:color w:val="1F4E79"/>
          <w:sz w:val="28"/>
          <w:szCs w:val="28"/>
          <w:lang w:val="en-US" w:bidi="hi-IN"/>
        </w:rPr>
        <w:footnoteReference w:id="2"/>
      </w:r>
    </w:p>
    <w:p w:rsidR="006F52A3" w:rsidRPr="00966FBB" w:rsidRDefault="006F52A3" w:rsidP="00BC3433">
      <w:pPr>
        <w:shd w:val="clear" w:color="auto" w:fill="FFFFFF"/>
        <w:jc w:val="center"/>
        <w:rPr>
          <w:rFonts w:ascii="Garamond" w:eastAsia="Times New Roman" w:hAnsi="Garamond" w:cs="Arial"/>
          <w:b/>
          <w:bCs/>
          <w:color w:val="1F4E79"/>
          <w:sz w:val="28"/>
          <w:szCs w:val="28"/>
          <w:lang w:val="en-US" w:bidi="hi-IN"/>
        </w:rPr>
      </w:pPr>
    </w:p>
    <w:p w:rsidR="006F52A3" w:rsidRDefault="006F52A3" w:rsidP="00BC3433">
      <w:pPr>
        <w:shd w:val="clear" w:color="auto" w:fill="FFFFFF"/>
        <w:jc w:val="center"/>
        <w:rPr>
          <w:rFonts w:ascii="Garamond" w:hAnsi="Garamond" w:cs="Helvetica"/>
          <w:b/>
          <w:color w:val="000099"/>
        </w:rPr>
      </w:pPr>
      <w:r w:rsidRPr="0070462A">
        <w:rPr>
          <w:rFonts w:ascii="Garamond" w:hAnsi="Garamond" w:cs="Helvetica"/>
          <w:b/>
          <w:color w:val="000099"/>
        </w:rPr>
        <w:t>Indian Capital Markets</w:t>
      </w:r>
      <w:r w:rsidR="008D39D7" w:rsidRPr="0070462A">
        <w:rPr>
          <w:rFonts w:ascii="Garamond" w:hAnsi="Garamond" w:cs="Helvetica"/>
          <w:b/>
          <w:color w:val="000099"/>
        </w:rPr>
        <w:t xml:space="preserve">: </w:t>
      </w:r>
      <w:r w:rsidRPr="0070462A">
        <w:rPr>
          <w:rFonts w:ascii="Garamond" w:hAnsi="Garamond" w:cs="Helvetica"/>
          <w:b/>
          <w:color w:val="000099"/>
        </w:rPr>
        <w:t>A Leap Ahead</w:t>
      </w:r>
      <w:r w:rsidR="008D39D7" w:rsidRPr="0070462A">
        <w:rPr>
          <w:rFonts w:ascii="Garamond" w:hAnsi="Garamond" w:cs="Helvetica"/>
          <w:b/>
          <w:color w:val="000099"/>
        </w:rPr>
        <w:t xml:space="preserve"> </w:t>
      </w:r>
      <w:r w:rsidR="0070462A" w:rsidRPr="0070462A">
        <w:rPr>
          <w:rFonts w:ascii="Garamond" w:hAnsi="Garamond" w:cs="Helvetica"/>
          <w:b/>
          <w:color w:val="000099"/>
        </w:rPr>
        <w:t>–</w:t>
      </w:r>
      <w:r w:rsidR="008D39D7" w:rsidRPr="0070462A">
        <w:rPr>
          <w:rFonts w:ascii="Garamond" w:hAnsi="Garamond" w:cs="Helvetica"/>
          <w:b/>
          <w:color w:val="000099"/>
        </w:rPr>
        <w:t xml:space="preserve"> </w:t>
      </w:r>
      <w:r w:rsidR="0070462A" w:rsidRPr="0070462A">
        <w:rPr>
          <w:rFonts w:ascii="Garamond" w:hAnsi="Garamond" w:cs="Helvetica"/>
          <w:b/>
          <w:color w:val="000099"/>
        </w:rPr>
        <w:t>Reflections on</w:t>
      </w:r>
      <w:r w:rsidR="008D39D7" w:rsidRPr="0070462A">
        <w:rPr>
          <w:rFonts w:ascii="Garamond" w:hAnsi="Garamond" w:cs="Helvetica"/>
          <w:b/>
          <w:color w:val="000099"/>
        </w:rPr>
        <w:t xml:space="preserve"> Primary Markets</w:t>
      </w:r>
    </w:p>
    <w:p w:rsidR="001034E7" w:rsidRDefault="001034E7" w:rsidP="001034E7">
      <w:pPr>
        <w:shd w:val="clear" w:color="auto" w:fill="FFFFFF"/>
        <w:jc w:val="right"/>
        <w:rPr>
          <w:rFonts w:ascii="Garamond" w:hAnsi="Garamond" w:cs="Helvetica"/>
          <w:b/>
          <w:color w:val="000099"/>
        </w:rPr>
      </w:pPr>
    </w:p>
    <w:p w:rsidR="00A331B8" w:rsidRDefault="001034E7" w:rsidP="001034E7">
      <w:pPr>
        <w:shd w:val="clear" w:color="auto" w:fill="FFFFFF"/>
        <w:jc w:val="right"/>
        <w:rPr>
          <w:rFonts w:ascii="Garamond" w:hAnsi="Garamond" w:cs="Helvetica"/>
          <w:b/>
          <w:color w:val="000099"/>
        </w:rPr>
      </w:pPr>
      <w:r>
        <w:rPr>
          <w:rFonts w:ascii="Garamond" w:hAnsi="Garamond" w:cs="Helvetica"/>
          <w:b/>
          <w:color w:val="000099"/>
        </w:rPr>
        <w:t>Shri Ajay Tyagi, Chairman</w:t>
      </w:r>
    </w:p>
    <w:p w:rsidR="001034E7" w:rsidRPr="001034E7" w:rsidRDefault="001034E7" w:rsidP="001034E7">
      <w:pPr>
        <w:shd w:val="clear" w:color="auto" w:fill="FFFFFF"/>
        <w:jc w:val="right"/>
        <w:rPr>
          <w:rFonts w:ascii="Garamond" w:hAnsi="Garamond" w:cs="Helvetica"/>
          <w:b/>
          <w:color w:val="000099"/>
        </w:rPr>
      </w:pPr>
    </w:p>
    <w:p w:rsidR="00A331B8"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Ladies  and  Gentlemen,  a  very  good  morning  to  all  of  you.  I  would  like  to thank  the  Association  of  Investment  Bankers  of  India  for  giving  me  this opportunity to address their annual summit, which this year has been drawn around the theme “Indian Capital Market –A Leap Ahead”. There cannot be a better time than the year end to assess the what, how and why of the market activity so as to draw up promises for the New Year!</w:t>
      </w:r>
    </w:p>
    <w:p w:rsidR="005D5366" w:rsidRDefault="005D5366" w:rsidP="006F52A3">
      <w:pPr>
        <w:pStyle w:val="ListParagraph"/>
        <w:ind w:left="360"/>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This year has been particularly exciting for primary market. Along with the sheer  size  and  scale  of  public  issues,  the  year  has  seen  listing  of  many companies having non-traditional business models. Let’s take a look at some trends and policy initiatives in this space, before delving into the issues and challenges related to primary market.</w:t>
      </w:r>
    </w:p>
    <w:p w:rsidR="008F041A" w:rsidRPr="008F041A" w:rsidRDefault="008F041A" w:rsidP="006F52A3">
      <w:pPr>
        <w:jc w:val="both"/>
        <w:rPr>
          <w:rFonts w:ascii="Garamond" w:hAnsi="Garamond" w:cs="Arial"/>
          <w:b/>
          <w:lang w:val="en-IN"/>
        </w:rPr>
      </w:pPr>
      <w:r w:rsidRPr="008F041A">
        <w:rPr>
          <w:rFonts w:ascii="Garamond" w:hAnsi="Garamond" w:cs="Arial"/>
          <w:b/>
          <w:lang w:val="en-IN"/>
        </w:rPr>
        <w:t>Trends in Primary Market</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Globally  and  domestically,  securities  markets  have  witnessed  phenomenal growth during the recent two years.</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During 2020, global equity issuance amounted to USD 826.8 billion, while global  long  term  bond  issuance  amounted  to  USD  27.34  trillion.  The Emerging Market Economies (EMEs) collectively accounted for 22.9 per cent of the global equity issuance during 2020 and 29.6 per cent of the global long term  bond  issuance.  As  at  end-2020,  the  EMEs  collectively  accounted  for about one-fifth of the global equity market capitalization and about one-sixth of the global bond market outstanding.</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2021 proved to be a bumper year for the</w:t>
      </w:r>
      <w:r>
        <w:rPr>
          <w:rFonts w:ascii="Garamond" w:hAnsi="Garamond" w:cs="Arial"/>
          <w:bCs/>
          <w:sz w:val="24"/>
          <w:szCs w:val="24"/>
          <w:lang w:val="en-IN"/>
        </w:rPr>
        <w:t xml:space="preserve"> </w:t>
      </w:r>
      <w:r w:rsidRPr="005D5366">
        <w:rPr>
          <w:rFonts w:ascii="Garamond" w:hAnsi="Garamond" w:cs="Arial"/>
          <w:bCs/>
          <w:sz w:val="24"/>
          <w:szCs w:val="24"/>
          <w:lang w:val="en-IN"/>
        </w:rPr>
        <w:t>global IPO market: 2,388 deals raised USD  453  billion.  While  the  number  of  deals  went  up  by  64  per  cent,  the amount of IPO proceeds increased by 67 per cent. The global equity issuance during  2021  amounted  to  USD  1.12  trillion  through  6,790  deals.  The optimism on the COVID-19 vaccination drive, earnings optimism, abundant liquidity,   low   interest   rate   environment,   global   stock   market   rally, technological  innovations  and  ESG  agenda  made  2021  an  active  year  for global equity issuance.</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The Indian securities market also witnessed robust growth during this period, both in terms of number of issues and the amount raised from equity market. In 2021, the Indian stock exchanges ranked 7th in terms of number of IPOs and 8th in terms of IPO proceeds globally. On both</w:t>
      </w:r>
      <w:r>
        <w:rPr>
          <w:rFonts w:ascii="Garamond" w:hAnsi="Garamond" w:cs="Arial"/>
          <w:bCs/>
          <w:sz w:val="24"/>
          <w:szCs w:val="24"/>
          <w:lang w:val="en-IN"/>
        </w:rPr>
        <w:t xml:space="preserve"> </w:t>
      </w:r>
      <w:r w:rsidRPr="005D5366">
        <w:rPr>
          <w:rFonts w:ascii="Garamond" w:hAnsi="Garamond" w:cs="Arial"/>
          <w:bCs/>
          <w:sz w:val="24"/>
          <w:szCs w:val="24"/>
          <w:lang w:val="en-IN"/>
        </w:rPr>
        <w:t>accounts, the Indian stock exchanges ranked 10th during the previous year.</w:t>
      </w:r>
    </w:p>
    <w:p w:rsidR="005D5366" w:rsidRPr="00966FBB" w:rsidRDefault="005D5366" w:rsidP="006F52A3">
      <w:pPr>
        <w:pStyle w:val="ListParagraph"/>
        <w:jc w:val="both"/>
        <w:rPr>
          <w:rFonts w:ascii="Garamond" w:hAnsi="Garamond" w:cs="Arial"/>
          <w:bCs/>
          <w:color w:val="000000"/>
          <w:sz w:val="24"/>
          <w:szCs w:val="24"/>
          <w:lang w:val="en-IN"/>
        </w:rPr>
      </w:pPr>
    </w:p>
    <w:p w:rsidR="005D5366" w:rsidRDefault="005D5366" w:rsidP="004E40DA">
      <w:pPr>
        <w:pStyle w:val="ListParagraph"/>
        <w:numPr>
          <w:ilvl w:val="0"/>
          <w:numId w:val="14"/>
        </w:numPr>
        <w:spacing w:before="240"/>
        <w:jc w:val="both"/>
        <w:rPr>
          <w:rFonts w:ascii="Garamond" w:hAnsi="Garamond" w:cs="Arial"/>
          <w:bCs/>
          <w:sz w:val="24"/>
          <w:szCs w:val="24"/>
          <w:lang w:val="en-IN"/>
        </w:rPr>
      </w:pPr>
      <w:r w:rsidRPr="005D5366">
        <w:rPr>
          <w:rFonts w:ascii="Garamond" w:hAnsi="Garamond" w:cs="Arial"/>
          <w:bCs/>
          <w:sz w:val="24"/>
          <w:szCs w:val="24"/>
          <w:lang w:val="en-IN"/>
        </w:rPr>
        <w:t xml:space="preserve">During  2020-21,  344  issues  raised  around  INR  2.3  lakh  crore  through issuance of equity securities in the Indian securities market. Of this, 55 were IPOs which raised around INR 31,000 crore. Till November 2021 of 2021-22,  348  issues  have  raised  around  INR  1.8  lakh  crore  through  issuance  of equity securities, of which 76 were IPOs that raised more than INR 90,000 crore. In just eight months, </w:t>
      </w:r>
      <w:r w:rsidRPr="005D5366">
        <w:rPr>
          <w:rFonts w:ascii="Garamond" w:hAnsi="Garamond" w:cs="Arial"/>
          <w:bCs/>
          <w:sz w:val="24"/>
          <w:szCs w:val="24"/>
          <w:lang w:val="en-IN"/>
        </w:rPr>
        <w:lastRenderedPageBreak/>
        <w:t>the IPO proceeds almost trebled, compared</w:t>
      </w:r>
      <w:r>
        <w:rPr>
          <w:rFonts w:ascii="Garamond" w:hAnsi="Garamond" w:cs="Arial"/>
          <w:bCs/>
          <w:sz w:val="24"/>
          <w:szCs w:val="24"/>
          <w:lang w:val="en-IN"/>
        </w:rPr>
        <w:t xml:space="preserve"> </w:t>
      </w:r>
      <w:r w:rsidRPr="005D5366">
        <w:rPr>
          <w:rFonts w:ascii="Garamond" w:hAnsi="Garamond" w:cs="Arial"/>
          <w:bCs/>
          <w:sz w:val="24"/>
          <w:szCs w:val="24"/>
          <w:lang w:val="en-IN"/>
        </w:rPr>
        <w:t>to the level for the previous whole year.  The average size of IPOs has also grown from about INR 350 crore during 2019-20 to about INR 1,200 crore in this financial year.</w:t>
      </w:r>
    </w:p>
    <w:p w:rsidR="00703A0B" w:rsidRPr="00703A0B" w:rsidRDefault="00703A0B" w:rsidP="006F52A3">
      <w:pPr>
        <w:pStyle w:val="ListParagraph"/>
        <w:jc w:val="both"/>
        <w:rPr>
          <w:rFonts w:ascii="Garamond" w:hAnsi="Garamond" w:cs="Arial"/>
          <w:bCs/>
          <w:sz w:val="24"/>
          <w:szCs w:val="24"/>
          <w:lang w:val="en-IN"/>
        </w:rPr>
      </w:pPr>
    </w:p>
    <w:p w:rsidR="00703A0B" w:rsidRPr="00E24D5D" w:rsidRDefault="00703A0B" w:rsidP="006F52A3">
      <w:pPr>
        <w:pStyle w:val="ListParagraph"/>
        <w:spacing w:before="240"/>
        <w:ind w:left="360"/>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Participation  by  retail  investors  in  equity  primary  market  has  witnessed  a significant   jump.   Upto   November   2021   in 2021-22,   the   number   of applications  from  retail  individual  investors  in  equity  IPOs  numbered  5.43 crore.  During  2019-20,  there  were  only  76.94  lakh  applications  and  during</w:t>
      </w:r>
      <w:r>
        <w:rPr>
          <w:rFonts w:ascii="Garamond" w:hAnsi="Garamond" w:cs="Arial"/>
          <w:bCs/>
          <w:sz w:val="24"/>
          <w:szCs w:val="24"/>
          <w:lang w:val="en-IN"/>
        </w:rPr>
        <w:t xml:space="preserve"> </w:t>
      </w:r>
      <w:r w:rsidRPr="005D5366">
        <w:rPr>
          <w:rFonts w:ascii="Garamond" w:hAnsi="Garamond" w:cs="Arial"/>
          <w:bCs/>
          <w:sz w:val="24"/>
          <w:szCs w:val="24"/>
          <w:lang w:val="en-IN"/>
        </w:rPr>
        <w:t>2020-21 there were 3.80 crore applications from the retail individual investors in IPOs</w:t>
      </w:r>
      <w:r>
        <w:rPr>
          <w:rFonts w:ascii="Garamond" w:hAnsi="Garamond" w:cs="Arial"/>
          <w:bCs/>
          <w:sz w:val="24"/>
          <w:szCs w:val="24"/>
          <w:lang w:val="en-IN"/>
        </w:rPr>
        <w:t>.</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This increase in retail individual applications is not just owing to the increase in the number of IPOs. The average number of applications received per issue in  the  retail individual  category  has  also increased.  The  average  number  of applications in  retail category  per  IPO on the  Main  Board for 2019-20  and 2020-21 was 6.8 lakh and 13.64 lakh,</w:t>
      </w:r>
      <w:r>
        <w:rPr>
          <w:rFonts w:ascii="Garamond" w:hAnsi="Garamond" w:cs="Arial"/>
          <w:bCs/>
          <w:sz w:val="24"/>
          <w:szCs w:val="24"/>
          <w:lang w:val="en-IN"/>
        </w:rPr>
        <w:t xml:space="preserve"> </w:t>
      </w:r>
      <w:r w:rsidRPr="005D5366">
        <w:rPr>
          <w:rFonts w:ascii="Garamond" w:hAnsi="Garamond" w:cs="Arial"/>
          <w:bCs/>
          <w:sz w:val="24"/>
          <w:szCs w:val="24"/>
          <w:lang w:val="en-IN"/>
        </w:rPr>
        <w:t>respectively, which stands at 15.65 lakh for 2021-22.</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Investment by retail individual investors in IPOs has grown from about INR 5,000 crore during 2019-20 to about INR 8,300 crore during 2020-21 and to about INR 15,100 crore till November 2021.</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The  extent  of  oversubscription  has  also  reached  new levels.  Almost  all  the IPOs during 2020-21 and till November 2021were fully subscribed. During 2020-21, 20 IPOs were  oversubscribed at least 10 times, of which 10 were oversubscribed 100 times. This year, 36 IPOs were oversubscribed at least 10 times, of which 13 were oversubscribed more than 100 times.</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The  IPO  market  activity  has  also  impacted  other  market  segments  very positively. Partly on account of the investors' urge to</w:t>
      </w:r>
      <w:r>
        <w:rPr>
          <w:rFonts w:ascii="Garamond" w:hAnsi="Garamond" w:cs="Arial"/>
          <w:bCs/>
          <w:sz w:val="24"/>
          <w:szCs w:val="24"/>
          <w:lang w:val="en-IN"/>
        </w:rPr>
        <w:t xml:space="preserve"> </w:t>
      </w:r>
      <w:r w:rsidRPr="005D5366">
        <w:rPr>
          <w:rFonts w:ascii="Garamond" w:hAnsi="Garamond" w:cs="Arial"/>
          <w:bCs/>
          <w:sz w:val="24"/>
          <w:szCs w:val="24"/>
          <w:lang w:val="en-IN"/>
        </w:rPr>
        <w:t>participate in the IPOs, on an average 27.63 lakh new demat accounts are being opened every month now  (i.e.,  2021-22).  Those  preferring  mutual  fund  route  for  the  portfolio diversification and the professional fund management benefits also increased their purchases  of  equity-oriented schemes  to  ride  the  IPO bull  run.  In this regard,  the  growing  popularity  of  SIP  mode  of  investment  and  investor awareness  initiatives  in  the  B-30  cities  drew  more  and  more  new  investors besides  attracting  fresh  investments  from  the  existing  investors.  On  an</w:t>
      </w:r>
      <w:r>
        <w:rPr>
          <w:rFonts w:ascii="Garamond" w:hAnsi="Garamond" w:cs="Arial"/>
          <w:bCs/>
          <w:sz w:val="24"/>
          <w:szCs w:val="24"/>
          <w:lang w:val="en-IN"/>
        </w:rPr>
        <w:t xml:space="preserve"> </w:t>
      </w:r>
      <w:r w:rsidRPr="005D5366">
        <w:rPr>
          <w:rFonts w:ascii="Garamond" w:hAnsi="Garamond" w:cs="Arial"/>
          <w:bCs/>
          <w:sz w:val="24"/>
          <w:szCs w:val="24"/>
          <w:lang w:val="en-IN"/>
        </w:rPr>
        <w:t>average 23.91 lakh new investor folios are being added every month now with the domestic mutual fund industry.</w:t>
      </w:r>
    </w:p>
    <w:p w:rsidR="008F041A" w:rsidRPr="008F041A" w:rsidRDefault="008F041A" w:rsidP="006F52A3">
      <w:pPr>
        <w:jc w:val="both"/>
        <w:rPr>
          <w:rFonts w:ascii="Garamond" w:hAnsi="Garamond" w:cs="Arial"/>
          <w:b/>
          <w:lang w:val="en-IN"/>
        </w:rPr>
      </w:pPr>
      <w:r w:rsidRPr="008F041A">
        <w:rPr>
          <w:rFonts w:ascii="Garamond" w:hAnsi="Garamond" w:cs="Arial"/>
          <w:b/>
          <w:lang w:val="en-IN"/>
        </w:rPr>
        <w:t>Major Policy Initiatives by SEBI for Primary Market</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SEBI has been engaging with Merchant bankers, Industry Associations and other  stakeholders  on  an  active  basis  to  continuously  develop  the  primary market.  SEBI  also  receives  inputs  from  advisory  committees  on  various critical policy matters from time to time. These efforts endeavour to have a right balance in regulatory architecture. Various steps have been taken in the recent years to make</w:t>
      </w:r>
      <w:r>
        <w:rPr>
          <w:rFonts w:ascii="Garamond" w:hAnsi="Garamond" w:cs="Arial"/>
          <w:bCs/>
          <w:sz w:val="24"/>
          <w:szCs w:val="24"/>
          <w:lang w:val="en-IN"/>
        </w:rPr>
        <w:t xml:space="preserve"> </w:t>
      </w:r>
      <w:r w:rsidRPr="005D5366">
        <w:rPr>
          <w:rFonts w:ascii="Garamond" w:hAnsi="Garamond" w:cs="Arial"/>
          <w:bCs/>
          <w:sz w:val="24"/>
          <w:szCs w:val="24"/>
          <w:lang w:val="en-IN"/>
        </w:rPr>
        <w:t>fund raising through capital markets easier, faster and cost effective as well as to ease up the process of investing.  Let</w:t>
      </w:r>
      <w:r>
        <w:rPr>
          <w:rFonts w:ascii="Garamond" w:hAnsi="Garamond" w:cs="Arial"/>
          <w:bCs/>
          <w:sz w:val="24"/>
          <w:szCs w:val="24"/>
          <w:lang w:val="en-IN"/>
        </w:rPr>
        <w:t xml:space="preserve"> </w:t>
      </w:r>
      <w:r w:rsidRPr="005D5366">
        <w:rPr>
          <w:rFonts w:ascii="Garamond" w:hAnsi="Garamond" w:cs="Arial"/>
          <w:bCs/>
          <w:sz w:val="24"/>
          <w:szCs w:val="24"/>
          <w:lang w:val="en-IN"/>
        </w:rPr>
        <w:t>us take a look at some of them relating to equity market.</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To facilitate listing by large issuers, the minimum public offer requirements have  been  relaxed  for  issuers  with  post  issue  market  capitalization  beyond INR 1 lakh crore. The time line to achieve Minimum Public Shareholding has also been relaxed for such issuers.</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lastRenderedPageBreak/>
        <w:t>The  lock-in  requirements  in  case  of  public  issues  have  been  reduced.  The lock-in for minimum promoters’ contribution has been brought down to 18 months  from  earlier  requirement  of  3  years.  Similarly,  in  the  case  of  other pre-IPO shareholders the lock-in has been reduced to 6 months from earlier requirement of 1 year.</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We   have   rationalized   the   definition   of   Promoter   Group   and   reduced disclosure requirements in respect of Group Companies in offer documents. SEBI is also taking steps for moving from the concept of Promoter to that of Controlling Shareholder.</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For fund raising through Rights issues, the timeline for completion of issue has  been  reduced,  dematerialization  and  trading  of  Rights  Entitlements  on Stock  Exchanges have  been introduced  and  the  eligibility  and  disclosure requirements have been rationalized.</w:t>
      </w:r>
    </w:p>
    <w:p w:rsidR="005D5366" w:rsidRPr="005D5366" w:rsidRDefault="005D5366" w:rsidP="006F52A3">
      <w:pPr>
        <w:pStyle w:val="ListParagraph"/>
        <w:jc w:val="both"/>
        <w:rPr>
          <w:rFonts w:ascii="Garamond" w:hAnsi="Garamond" w:cs="Arial"/>
          <w:bCs/>
          <w:sz w:val="24"/>
          <w:szCs w:val="24"/>
          <w:lang w:val="en-IN"/>
        </w:rPr>
      </w:pPr>
    </w:p>
    <w:p w:rsidR="005D5366" w:rsidRDefault="005D5366" w:rsidP="004E40DA">
      <w:pPr>
        <w:pStyle w:val="ListParagraph"/>
        <w:numPr>
          <w:ilvl w:val="0"/>
          <w:numId w:val="14"/>
        </w:numPr>
        <w:jc w:val="both"/>
        <w:rPr>
          <w:rFonts w:ascii="Garamond" w:hAnsi="Garamond" w:cs="Arial"/>
          <w:bCs/>
          <w:sz w:val="24"/>
          <w:szCs w:val="24"/>
          <w:lang w:val="en-IN"/>
        </w:rPr>
      </w:pPr>
      <w:r w:rsidRPr="005D5366">
        <w:rPr>
          <w:rFonts w:ascii="Garamond" w:hAnsi="Garamond" w:cs="Arial"/>
          <w:bCs/>
          <w:sz w:val="24"/>
          <w:szCs w:val="24"/>
          <w:lang w:val="en-IN"/>
        </w:rPr>
        <w:t>Differential   Voting   Rights   (DVR)   framework   has   been   introduced considering  the  typical  capital  structure  of  new  age  tech  companies  and demand for such a framework. Recently, SEBI relaxed the eligibility criteria for  Superior  Rights  (SR)  shareholders,  permitting  issuance  of  SR  shares  to individuals  having  net-worth  upto  INR  1000  Crore.  The  minimum  gap between issuance of SR shares and filing of RHP has also been reduced to 3 months.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A  host  of  initiatives  by  SEBI  eased  up  the  process  of  investing.  The  T+6 listing timeline ensures faster turnaround of investors’ moneys. The Aadhaar based  paperless  offline  e-KYC  enables  investor  on-boarding  without  any physical visits. Also noteworthy is the introduction earlier of ASBA and now the world’s most efficient payment infrastructure UPI with ASBA modes of payments in the IPOs.</w:t>
      </w:r>
    </w:p>
    <w:p w:rsidR="008F041A" w:rsidRPr="008F041A" w:rsidRDefault="008F041A" w:rsidP="006F52A3">
      <w:pPr>
        <w:jc w:val="both"/>
        <w:rPr>
          <w:rFonts w:ascii="Garamond" w:hAnsi="Garamond" w:cs="Arial"/>
          <w:b/>
          <w:lang w:val="en-IN"/>
        </w:rPr>
      </w:pPr>
      <w:r w:rsidRPr="008F041A">
        <w:rPr>
          <w:rFonts w:ascii="Garamond" w:hAnsi="Garamond" w:cs="Arial"/>
          <w:b/>
          <w:lang w:val="en-IN"/>
        </w:rPr>
        <w:t>New Age Tech Companies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Recently,  there  has  been  an  increasing  trend of  New  Age  Tech  Companies also  known  as  Growth  Companies  coming  out  with  their  IPOs.  Such companies  are  characterized  by  their  significantly  different  business  model and are asset light in nature. In 2021-22, out of the 23 IPOs on the Main Board with  issue  size  over  INR  1,000  Crore,  5  were  by  companies  with  non-traditional business models. Such companies access capital markets both to provide exit to existing investors and to fund their growth ambitions. These non-traditional companies offer additional regulatory challenges.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Having an appropriate regulatory framework for listing of such companies is also important to attract fresh PE/VC investments in Start-Ups. As  you are aware, not only has there been an IPO boom in 2021, the year has also seen the birth of a record number of new unicorns.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Typically, the new age tech companies are loss making at the time of listing and  the  extant  regulatory  framework  acknowledges  that.  Going  forward, based  on  experience  gained  and  stakeholders’  feedback,  there  would  be learnings and the need for appropriate tweaking of regulations</w:t>
      </w:r>
      <w:r>
        <w:rPr>
          <w:rFonts w:ascii="Garamond" w:hAnsi="Garamond" w:cs="Arial"/>
          <w:bCs/>
          <w:sz w:val="24"/>
          <w:szCs w:val="24"/>
          <w:lang w:val="en-IN"/>
        </w:rPr>
        <w:t>.</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It is in this context that SEBI had taken out a public consultation paper on the subject in November 2021.  We would be soon taking a view on the issues raised in this paper.</w:t>
      </w:r>
    </w:p>
    <w:p w:rsidR="00A76333" w:rsidRDefault="00A76333" w:rsidP="006F52A3">
      <w:pPr>
        <w:jc w:val="both"/>
        <w:rPr>
          <w:rFonts w:ascii="Garamond" w:hAnsi="Garamond" w:cs="Arial"/>
          <w:b/>
          <w:lang w:val="en-IN"/>
        </w:rPr>
      </w:pPr>
    </w:p>
    <w:p w:rsidR="00E24D5D" w:rsidRDefault="00E24D5D" w:rsidP="006F52A3">
      <w:pPr>
        <w:jc w:val="both"/>
        <w:rPr>
          <w:rFonts w:ascii="Garamond" w:hAnsi="Garamond" w:cs="Arial"/>
          <w:b/>
          <w:lang w:val="en-IN"/>
        </w:rPr>
      </w:pPr>
    </w:p>
    <w:p w:rsidR="00E24D5D" w:rsidRDefault="00E24D5D" w:rsidP="006F52A3">
      <w:pPr>
        <w:jc w:val="both"/>
        <w:rPr>
          <w:rFonts w:ascii="Garamond" w:hAnsi="Garamond" w:cs="Arial"/>
          <w:b/>
          <w:lang w:val="en-IN"/>
        </w:rPr>
      </w:pPr>
    </w:p>
    <w:p w:rsidR="008F041A" w:rsidRPr="008F041A" w:rsidRDefault="008F041A" w:rsidP="006F52A3">
      <w:pPr>
        <w:jc w:val="both"/>
        <w:rPr>
          <w:rFonts w:ascii="Garamond" w:hAnsi="Garamond" w:cs="Arial"/>
          <w:b/>
          <w:lang w:val="en-IN"/>
        </w:rPr>
      </w:pPr>
      <w:r w:rsidRPr="008F041A">
        <w:rPr>
          <w:rFonts w:ascii="Garamond" w:hAnsi="Garamond" w:cs="Arial"/>
          <w:b/>
          <w:lang w:val="en-IN"/>
        </w:rPr>
        <w:lastRenderedPageBreak/>
        <w:t>Merchant Bankers’ Role</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The  merchant  bankers  have  an  important  role  to  play  in  ensuring  market integrity.</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The  growth  in  the  primary  market  is accompanied  by  various  challenges,</w:t>
      </w:r>
      <w:r>
        <w:rPr>
          <w:rFonts w:ascii="Garamond" w:hAnsi="Garamond" w:cs="Arial"/>
          <w:bCs/>
          <w:sz w:val="24"/>
          <w:szCs w:val="24"/>
          <w:lang w:val="en-IN"/>
        </w:rPr>
        <w:t xml:space="preserve"> </w:t>
      </w:r>
      <w:r w:rsidRPr="008F041A">
        <w:rPr>
          <w:rFonts w:ascii="Garamond" w:hAnsi="Garamond" w:cs="Arial"/>
          <w:bCs/>
          <w:sz w:val="24"/>
          <w:szCs w:val="24"/>
          <w:lang w:val="en-IN"/>
        </w:rPr>
        <w:t>including in the form of non-traditional business models of issuers, disclosure requirements  for  new  age  technology  companies  and  valuation  related apprehensions</w:t>
      </w:r>
      <w:r>
        <w:rPr>
          <w:rFonts w:ascii="Garamond" w:hAnsi="Garamond" w:cs="Arial"/>
          <w:bCs/>
          <w:sz w:val="24"/>
          <w:szCs w:val="24"/>
          <w:lang w:val="en-IN"/>
        </w:rPr>
        <w:t>.</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Appropriate pricing  of  the  issue is  a  crucial  aspect.  A  proper  balancing  act between the  issuers’  aspirations  and  investors’  interests  is  required.  The merchant bankers need to engage with a wider set of potential investors.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Duties and responsibilities of a merchant banker and code of conduct for them have  been  specified  by  SEBI.  The  responsibility  cast  upon  them  includes protecting  interest  of  investors,  conducting  business  with  fairness  and</w:t>
      </w:r>
      <w:r>
        <w:rPr>
          <w:rFonts w:ascii="Garamond" w:hAnsi="Garamond" w:cs="Arial"/>
          <w:bCs/>
          <w:sz w:val="24"/>
          <w:szCs w:val="24"/>
          <w:lang w:val="en-IN"/>
        </w:rPr>
        <w:t xml:space="preserve"> </w:t>
      </w:r>
      <w:r w:rsidRPr="008F041A">
        <w:rPr>
          <w:rFonts w:ascii="Garamond" w:hAnsi="Garamond" w:cs="Arial"/>
          <w:bCs/>
          <w:sz w:val="24"/>
          <w:szCs w:val="24"/>
          <w:lang w:val="en-IN"/>
        </w:rPr>
        <w:t>integrity,  ensuring  true  disclosures  to  investors  in  a  timely  manner</w:t>
      </w:r>
      <w:r>
        <w:rPr>
          <w:rFonts w:ascii="Garamond" w:hAnsi="Garamond" w:cs="Arial"/>
          <w:bCs/>
          <w:sz w:val="24"/>
          <w:szCs w:val="24"/>
          <w:lang w:val="en-IN"/>
        </w:rPr>
        <w:t xml:space="preserve"> </w:t>
      </w:r>
      <w:r w:rsidRPr="008F041A">
        <w:rPr>
          <w:rFonts w:ascii="Garamond" w:hAnsi="Garamond" w:cs="Arial"/>
          <w:bCs/>
          <w:sz w:val="24"/>
          <w:szCs w:val="24"/>
          <w:lang w:val="en-IN"/>
        </w:rPr>
        <w:t>so  that investors are made aware of attendant risks before taking investment decision. It is incumbent upon the Merchant banker community to not only follow the Regulations in letter but also in spirit. It may be an opportune time for AIBI to reflect upon</w:t>
      </w:r>
      <w:r>
        <w:rPr>
          <w:rFonts w:ascii="Garamond" w:hAnsi="Garamond" w:cs="Arial"/>
          <w:bCs/>
          <w:sz w:val="24"/>
          <w:szCs w:val="24"/>
          <w:lang w:val="en-IN"/>
        </w:rPr>
        <w:t xml:space="preserve"> </w:t>
      </w:r>
      <w:r w:rsidRPr="008F041A">
        <w:rPr>
          <w:rFonts w:ascii="Garamond" w:hAnsi="Garamond" w:cs="Arial"/>
          <w:bCs/>
          <w:sz w:val="24"/>
          <w:szCs w:val="24"/>
          <w:lang w:val="en-IN"/>
        </w:rPr>
        <w:t>and review the standards of due diligence adopted by merchant bankers in various issue management activities offered by them. Needless to say,</w:t>
      </w:r>
      <w:r>
        <w:rPr>
          <w:rFonts w:ascii="Garamond" w:hAnsi="Garamond" w:cs="Arial"/>
          <w:bCs/>
          <w:sz w:val="24"/>
          <w:szCs w:val="24"/>
          <w:lang w:val="en-IN"/>
        </w:rPr>
        <w:t xml:space="preserve"> </w:t>
      </w:r>
      <w:r w:rsidRPr="008F041A">
        <w:rPr>
          <w:rFonts w:ascii="Garamond" w:hAnsi="Garamond" w:cs="Arial"/>
          <w:bCs/>
          <w:sz w:val="24"/>
          <w:szCs w:val="24"/>
          <w:lang w:val="en-IN"/>
        </w:rPr>
        <w:t>SEBI  will  not  shy  away  from  taking  required  action  if  it  finds  any intermediary not adhering to its mandate.</w:t>
      </w:r>
    </w:p>
    <w:p w:rsidR="008F041A" w:rsidRPr="008F041A" w:rsidRDefault="008F041A" w:rsidP="006F52A3">
      <w:pPr>
        <w:jc w:val="both"/>
        <w:rPr>
          <w:rFonts w:ascii="Garamond" w:hAnsi="Garamond" w:cs="Arial"/>
          <w:b/>
          <w:lang w:val="en-IN"/>
        </w:rPr>
      </w:pPr>
      <w:r w:rsidRPr="008F041A">
        <w:rPr>
          <w:rFonts w:ascii="Garamond" w:hAnsi="Garamond" w:cs="Arial"/>
          <w:b/>
          <w:lang w:val="en-IN"/>
        </w:rPr>
        <w:t>Concluding Remarks</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The   enthusiastic   reception   of   issuances   by   investors,   including   retail investors,  is  a  reflection  of  the  confidence  reposed  by  them  in  the  Indian securities  market.  The  members  of  investment  banking  fraternity  are  the custodians of this</w:t>
      </w:r>
      <w:r>
        <w:rPr>
          <w:rFonts w:ascii="Garamond" w:hAnsi="Garamond" w:cs="Arial"/>
          <w:bCs/>
          <w:sz w:val="24"/>
          <w:szCs w:val="24"/>
          <w:lang w:val="en-IN"/>
        </w:rPr>
        <w:t xml:space="preserve"> </w:t>
      </w:r>
      <w:r w:rsidRPr="008F041A">
        <w:rPr>
          <w:rFonts w:ascii="Garamond" w:hAnsi="Garamond" w:cs="Arial"/>
          <w:bCs/>
          <w:sz w:val="24"/>
          <w:szCs w:val="24"/>
          <w:lang w:val="en-IN"/>
        </w:rPr>
        <w:t>faith.</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4E40DA">
      <w:pPr>
        <w:pStyle w:val="ListParagraph"/>
        <w:numPr>
          <w:ilvl w:val="0"/>
          <w:numId w:val="14"/>
        </w:numPr>
        <w:jc w:val="both"/>
        <w:rPr>
          <w:rFonts w:ascii="Garamond" w:hAnsi="Garamond" w:cs="Arial"/>
          <w:bCs/>
          <w:sz w:val="24"/>
          <w:szCs w:val="24"/>
          <w:lang w:val="en-IN"/>
        </w:rPr>
      </w:pPr>
      <w:r w:rsidRPr="008F041A">
        <w:rPr>
          <w:rFonts w:ascii="Garamond" w:hAnsi="Garamond" w:cs="Arial"/>
          <w:bCs/>
          <w:sz w:val="24"/>
          <w:szCs w:val="24"/>
          <w:lang w:val="en-IN"/>
        </w:rPr>
        <w:t>Merchant  bankers have  the  responsibility to  ensure  that  the  trust  that  the investors  have  shown  in  capital  markets  is  not  misplaced.  By  doing  so,  all stakeholders stand to gain.</w:t>
      </w:r>
    </w:p>
    <w:p w:rsidR="008F041A" w:rsidRPr="008F041A" w:rsidRDefault="008F041A" w:rsidP="006F52A3">
      <w:pPr>
        <w:pStyle w:val="ListParagraph"/>
        <w:jc w:val="both"/>
        <w:rPr>
          <w:rFonts w:ascii="Garamond" w:hAnsi="Garamond" w:cs="Arial"/>
          <w:bCs/>
          <w:sz w:val="24"/>
          <w:szCs w:val="24"/>
          <w:lang w:val="en-IN"/>
        </w:rPr>
      </w:pPr>
    </w:p>
    <w:p w:rsidR="008F041A" w:rsidRDefault="008F041A" w:rsidP="006F52A3">
      <w:pPr>
        <w:jc w:val="both"/>
        <w:rPr>
          <w:rFonts w:ascii="Garamond" w:hAnsi="Garamond" w:cs="Arial"/>
          <w:bCs/>
          <w:lang w:val="en-IN"/>
        </w:rPr>
      </w:pPr>
      <w:r w:rsidRPr="008F041A">
        <w:rPr>
          <w:rFonts w:ascii="Garamond" w:hAnsi="Garamond" w:cs="Arial"/>
          <w:bCs/>
          <w:lang w:val="en-IN"/>
        </w:rPr>
        <w:t>On that note, I wish this su</w:t>
      </w:r>
      <w:r>
        <w:rPr>
          <w:rFonts w:ascii="Garamond" w:hAnsi="Garamond" w:cs="Arial"/>
          <w:bCs/>
          <w:lang w:val="en-IN"/>
        </w:rPr>
        <w:t>mmit and you all, the very best.</w:t>
      </w:r>
    </w:p>
    <w:p w:rsidR="008F041A" w:rsidRDefault="008F041A" w:rsidP="006F52A3">
      <w:pPr>
        <w:jc w:val="both"/>
        <w:rPr>
          <w:rFonts w:ascii="Garamond" w:hAnsi="Garamond" w:cs="Arial"/>
          <w:bCs/>
          <w:lang w:val="en-IN"/>
        </w:rPr>
      </w:pPr>
    </w:p>
    <w:p w:rsidR="008F041A" w:rsidRPr="008F041A" w:rsidRDefault="008F041A" w:rsidP="006F52A3">
      <w:pPr>
        <w:jc w:val="both"/>
        <w:rPr>
          <w:rFonts w:ascii="Garamond" w:hAnsi="Garamond" w:cs="Arial"/>
          <w:bCs/>
          <w:lang w:val="en-IN"/>
        </w:rPr>
      </w:pPr>
      <w:r w:rsidRPr="008F041A">
        <w:rPr>
          <w:rFonts w:ascii="Garamond" w:hAnsi="Garamond" w:cs="Arial"/>
          <w:bCs/>
          <w:lang w:val="en-IN"/>
        </w:rPr>
        <w:t>Thank you.</w:t>
      </w: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A331B8" w:rsidRDefault="00A331B8" w:rsidP="00481098">
      <w:pPr>
        <w:rPr>
          <w:rFonts w:ascii="Garamond" w:hAnsi="Garamond" w:cs="Arial"/>
          <w:bCs/>
          <w:lang w:val="en-IN"/>
        </w:rPr>
      </w:pPr>
    </w:p>
    <w:p w:rsidR="008F041A" w:rsidRDefault="008F041A" w:rsidP="008F041A">
      <w:pPr>
        <w:outlineLvl w:val="0"/>
        <w:rPr>
          <w:rFonts w:ascii="Garamond" w:hAnsi="Garamond" w:cs="Arial"/>
          <w:bCs/>
          <w:lang w:val="en-IN"/>
        </w:rPr>
      </w:pPr>
    </w:p>
    <w:p w:rsidR="001446E9" w:rsidRDefault="001446E9" w:rsidP="008F041A">
      <w:pPr>
        <w:outlineLvl w:val="0"/>
        <w:rPr>
          <w:rFonts w:ascii="Garamond" w:hAnsi="Garamond" w:cs="Arial"/>
          <w:bCs/>
          <w:lang w:val="en-IN"/>
        </w:rPr>
      </w:pPr>
    </w:p>
    <w:p w:rsidR="001446E9" w:rsidRDefault="001446E9" w:rsidP="008F041A">
      <w:pPr>
        <w:outlineLvl w:val="0"/>
        <w:rPr>
          <w:rFonts w:ascii="Garamond" w:hAnsi="Garamond" w:cs="Arial"/>
          <w:bCs/>
          <w:lang w:val="en-IN"/>
        </w:rPr>
      </w:pPr>
    </w:p>
    <w:p w:rsidR="00BC3433" w:rsidRDefault="00BC3433" w:rsidP="008F041A">
      <w:pPr>
        <w:outlineLvl w:val="0"/>
        <w:rPr>
          <w:rFonts w:ascii="Garamond" w:hAnsi="Garamond" w:cs="Arial"/>
          <w:bCs/>
          <w:lang w:val="en-IN"/>
        </w:rPr>
      </w:pPr>
    </w:p>
    <w:p w:rsidR="00A76333" w:rsidRPr="00966FBB" w:rsidRDefault="00A76333" w:rsidP="00703A0B">
      <w:pPr>
        <w:outlineLvl w:val="0"/>
        <w:rPr>
          <w:rFonts w:ascii="Garamond" w:hAnsi="Garamond" w:cs="Helvetica"/>
          <w:b/>
          <w:color w:val="1F4E79"/>
          <w:sz w:val="28"/>
          <w:szCs w:val="28"/>
        </w:rPr>
      </w:pPr>
    </w:p>
    <w:p w:rsidR="00115F51" w:rsidRDefault="00115F51" w:rsidP="00BC3433">
      <w:pPr>
        <w:shd w:val="clear" w:color="auto" w:fill="FFFFFF"/>
        <w:jc w:val="center"/>
        <w:rPr>
          <w:rFonts w:ascii="Garamond" w:eastAsia="Times New Roman" w:hAnsi="Garamond" w:cs="Arial"/>
          <w:b/>
          <w:bCs/>
          <w:color w:val="1F4E79"/>
          <w:sz w:val="28"/>
          <w:szCs w:val="28"/>
          <w:lang w:val="en-US" w:bidi="hi-IN"/>
        </w:rPr>
      </w:pPr>
    </w:p>
    <w:p w:rsidR="00115F51" w:rsidRDefault="00115F51" w:rsidP="00BC3433">
      <w:pPr>
        <w:shd w:val="clear" w:color="auto" w:fill="FFFFFF"/>
        <w:jc w:val="center"/>
        <w:rPr>
          <w:rFonts w:ascii="Garamond" w:eastAsia="Times New Roman" w:hAnsi="Garamond" w:cs="Arial"/>
          <w:b/>
          <w:bCs/>
          <w:color w:val="1F4E79"/>
          <w:sz w:val="28"/>
          <w:szCs w:val="28"/>
          <w:lang w:val="en-US" w:bidi="hi-IN"/>
        </w:rPr>
      </w:pPr>
    </w:p>
    <w:p w:rsidR="00115F51" w:rsidRDefault="00115F51" w:rsidP="00BC3433">
      <w:pPr>
        <w:shd w:val="clear" w:color="auto" w:fill="FFFFFF"/>
        <w:jc w:val="center"/>
        <w:rPr>
          <w:rFonts w:ascii="Garamond" w:eastAsia="Times New Roman" w:hAnsi="Garamond" w:cs="Arial"/>
          <w:b/>
          <w:bCs/>
          <w:color w:val="1F4E79"/>
          <w:sz w:val="28"/>
          <w:szCs w:val="28"/>
          <w:lang w:val="en-US" w:bidi="hi-IN"/>
        </w:rPr>
      </w:pPr>
      <w:r>
        <w:rPr>
          <w:rFonts w:ascii="Garamond" w:eastAsia="Times New Roman" w:hAnsi="Garamond" w:cs="Arial"/>
          <w:b/>
          <w:bCs/>
          <w:color w:val="1F4E79"/>
          <w:sz w:val="28"/>
          <w:szCs w:val="28"/>
          <w:lang w:val="en-US" w:bidi="hi-IN"/>
        </w:rPr>
        <w:lastRenderedPageBreak/>
        <w:t>SPEECH</w:t>
      </w:r>
      <w:r>
        <w:rPr>
          <w:rStyle w:val="FootnoteReference"/>
          <w:rFonts w:eastAsia="Times New Roman"/>
          <w:color w:val="1F4E79"/>
          <w:lang w:bidi="hi-IN"/>
        </w:rPr>
        <w:footnoteReference w:id="3"/>
      </w:r>
      <w:bookmarkStart w:id="0" w:name="_GoBack"/>
      <w:bookmarkEnd w:id="0"/>
    </w:p>
    <w:p w:rsidR="008E4B65" w:rsidRPr="00BC3433" w:rsidRDefault="008E4B65" w:rsidP="00BC3433">
      <w:pPr>
        <w:shd w:val="clear" w:color="auto" w:fill="FFFFFF"/>
        <w:jc w:val="center"/>
        <w:rPr>
          <w:rFonts w:ascii="Garamond" w:eastAsia="Times New Roman" w:hAnsi="Garamond" w:cs="Arial"/>
          <w:b/>
          <w:bCs/>
          <w:color w:val="1F4E79"/>
          <w:sz w:val="28"/>
          <w:szCs w:val="28"/>
          <w:lang w:val="en-US" w:bidi="hi-IN"/>
        </w:rPr>
      </w:pPr>
      <w:r w:rsidRPr="00BC3433">
        <w:rPr>
          <w:rFonts w:ascii="Garamond" w:eastAsia="Times New Roman" w:hAnsi="Garamond" w:cs="Arial"/>
          <w:b/>
          <w:bCs/>
          <w:color w:val="1F4E79"/>
          <w:sz w:val="28"/>
          <w:szCs w:val="28"/>
          <w:lang w:val="en-US" w:bidi="hi-IN"/>
        </w:rPr>
        <w:t>Changing Face of Indian Primary Capital Markets</w:t>
      </w:r>
    </w:p>
    <w:p w:rsidR="001034E7" w:rsidRPr="00BC3433" w:rsidRDefault="001034E7" w:rsidP="00BC3433">
      <w:pPr>
        <w:shd w:val="clear" w:color="auto" w:fill="FFFFFF"/>
        <w:jc w:val="right"/>
        <w:rPr>
          <w:rFonts w:ascii="Garamond" w:eastAsia="Times New Roman" w:hAnsi="Garamond" w:cs="Arial"/>
          <w:b/>
          <w:bCs/>
          <w:color w:val="1F4E79"/>
          <w:sz w:val="28"/>
          <w:szCs w:val="28"/>
          <w:lang w:val="en-US" w:bidi="hi-IN"/>
        </w:rPr>
      </w:pPr>
      <w:r w:rsidRPr="00BC3433">
        <w:rPr>
          <w:rFonts w:ascii="Garamond" w:eastAsia="Times New Roman" w:hAnsi="Garamond" w:cs="Arial"/>
          <w:b/>
          <w:bCs/>
          <w:color w:val="1F4E79"/>
          <w:sz w:val="28"/>
          <w:szCs w:val="28"/>
          <w:lang w:val="en-US" w:bidi="hi-IN"/>
        </w:rPr>
        <w:t>Shri Amarjeet Singh, Executive Director</w:t>
      </w:r>
    </w:p>
    <w:p w:rsidR="008E4B65" w:rsidRPr="001446E9" w:rsidRDefault="008E4B65" w:rsidP="001446E9">
      <w:pPr>
        <w:pStyle w:val="ListParagraph"/>
        <w:numPr>
          <w:ilvl w:val="0"/>
          <w:numId w:val="20"/>
        </w:numPr>
        <w:spacing w:after="160"/>
        <w:jc w:val="both"/>
        <w:rPr>
          <w:rFonts w:ascii="Garamond" w:hAnsi="Garamond" w:cs="Arial"/>
          <w:bCs/>
          <w:sz w:val="24"/>
          <w:szCs w:val="24"/>
          <w:lang w:val="en-IN"/>
        </w:rPr>
      </w:pPr>
      <w:r w:rsidRPr="001446E9">
        <w:rPr>
          <w:rFonts w:ascii="Garamond" w:hAnsi="Garamond" w:cs="Arial"/>
          <w:bCs/>
          <w:sz w:val="24"/>
          <w:szCs w:val="24"/>
          <w:lang w:val="en-IN"/>
        </w:rPr>
        <w:t xml:space="preserve">Good afternoon. It is indeed a pleasure to be a part of this event. I thank AIBI for inviting me to today’s panel. </w:t>
      </w:r>
    </w:p>
    <w:p w:rsidR="008E4B65" w:rsidRPr="001446E9" w:rsidRDefault="008E4B65" w:rsidP="001446E9">
      <w:pPr>
        <w:pStyle w:val="ListParagraph"/>
        <w:ind w:left="360"/>
        <w:jc w:val="both"/>
        <w:rPr>
          <w:rFonts w:ascii="Garamond" w:hAnsi="Garamond" w:cs="Arial"/>
          <w:bCs/>
          <w:sz w:val="24"/>
          <w:szCs w:val="24"/>
          <w:lang w:val="en-IN"/>
        </w:rPr>
      </w:pPr>
    </w:p>
    <w:p w:rsidR="008E4B65" w:rsidRPr="001446E9" w:rsidRDefault="008E4B65" w:rsidP="001446E9">
      <w:pPr>
        <w:pStyle w:val="ListParagraph"/>
        <w:numPr>
          <w:ilvl w:val="0"/>
          <w:numId w:val="20"/>
        </w:numPr>
        <w:spacing w:after="160"/>
        <w:jc w:val="both"/>
        <w:rPr>
          <w:rFonts w:ascii="Garamond" w:hAnsi="Garamond" w:cs="Arial"/>
          <w:bCs/>
          <w:sz w:val="24"/>
          <w:szCs w:val="24"/>
          <w:lang w:val="en-IN"/>
        </w:rPr>
      </w:pPr>
      <w:r w:rsidRPr="001446E9">
        <w:rPr>
          <w:rFonts w:ascii="Garamond" w:hAnsi="Garamond" w:cs="Arial"/>
          <w:bCs/>
          <w:sz w:val="24"/>
          <w:szCs w:val="24"/>
          <w:lang w:val="en-IN"/>
        </w:rPr>
        <w:t xml:space="preserve">Let me also compliment the organizers for choosing a very relevant theme for today’s panel. In my remarks today, broadly I would like to focus on three aspects, i) some important trends in the primary markets in the context of the changing face of the Primary market, which is the theme of this panel, ii) our recent and ongoing reforms agenda for the primary market and iii) thirdly I would also like to touch upon our expectations from merchant bankers. But, first to set the context, let me quickly reflect on some broader developments and important data points. </w:t>
      </w:r>
    </w:p>
    <w:p w:rsidR="008E4B65" w:rsidRPr="00D562A2" w:rsidRDefault="008E4B65" w:rsidP="001034E7">
      <w:pPr>
        <w:jc w:val="both"/>
        <w:rPr>
          <w:rFonts w:ascii="Garamond" w:hAnsi="Garamond" w:cs="Arial"/>
          <w:b/>
          <w:bCs/>
          <w:lang w:val="en-US"/>
        </w:rPr>
      </w:pPr>
      <w:r w:rsidRPr="00D562A2">
        <w:rPr>
          <w:rFonts w:ascii="Garamond" w:hAnsi="Garamond" w:cs="Arial"/>
          <w:b/>
          <w:bCs/>
          <w:lang w:val="en-US"/>
        </w:rPr>
        <w:t>Growth and evolution of securities markets</w:t>
      </w:r>
    </w:p>
    <w:p w:rsidR="008E4B65" w:rsidRPr="001034E7" w:rsidRDefault="008E4B65" w:rsidP="001446E9">
      <w:pPr>
        <w:pStyle w:val="ListParagraph"/>
        <w:numPr>
          <w:ilvl w:val="0"/>
          <w:numId w:val="20"/>
        </w:numPr>
        <w:spacing w:after="160"/>
        <w:jc w:val="both"/>
        <w:rPr>
          <w:rFonts w:ascii="Garamond" w:hAnsi="Garamond" w:cs="Arial"/>
          <w:sz w:val="24"/>
          <w:szCs w:val="24"/>
        </w:rPr>
      </w:pPr>
      <w:r w:rsidRPr="001034E7">
        <w:rPr>
          <w:rFonts w:ascii="Garamond" w:hAnsi="Garamond" w:cs="Arial"/>
          <w:sz w:val="24"/>
          <w:szCs w:val="24"/>
        </w:rPr>
        <w:t xml:space="preserve">As 2021 comes to a close, it is indeed heartening to note that the Indian economy and the financial markets have shown tremendous resilience and growth in the traumatic Covid years. Our securities markets are discovering new highs. Massive increase in the number of demat account, rise in trading by individuals, increasing counter play of domestic institutional investors to that of FPIs – these are some paradigm shifts, which have brought our markets to a new growth orbit with brighter prospects. </w:t>
      </w:r>
    </w:p>
    <w:p w:rsidR="008E4B65" w:rsidRPr="00D562A2" w:rsidRDefault="008E4B65" w:rsidP="00D562A2">
      <w:pPr>
        <w:jc w:val="both"/>
        <w:rPr>
          <w:rFonts w:ascii="Garamond" w:hAnsi="Garamond" w:cs="Arial"/>
          <w:i/>
          <w:iCs/>
        </w:rPr>
      </w:pPr>
      <w:r w:rsidRPr="00D562A2">
        <w:rPr>
          <w:rFonts w:ascii="Garamond" w:hAnsi="Garamond" w:cs="Arial"/>
          <w:i/>
          <w:iCs/>
        </w:rPr>
        <w:t>Funds raised through IPOs</w:t>
      </w:r>
    </w:p>
    <w:p w:rsidR="008E4B65" w:rsidRPr="001034E7" w:rsidRDefault="008E4B65" w:rsidP="001034E7">
      <w:pPr>
        <w:pStyle w:val="ListParagraph"/>
        <w:spacing w:line="240" w:lineRule="auto"/>
        <w:rPr>
          <w:rFonts w:ascii="Garamond" w:hAnsi="Garamond" w:cs="Arial"/>
          <w:sz w:val="24"/>
          <w:szCs w:val="24"/>
        </w:rPr>
      </w:pPr>
    </w:p>
    <w:p w:rsidR="008E4B65" w:rsidRPr="00847023" w:rsidRDefault="008E4B65" w:rsidP="009F1815">
      <w:pPr>
        <w:pStyle w:val="ListParagraph"/>
        <w:numPr>
          <w:ilvl w:val="0"/>
          <w:numId w:val="20"/>
        </w:numPr>
        <w:spacing w:before="240" w:after="0"/>
        <w:jc w:val="both"/>
        <w:rPr>
          <w:rFonts w:ascii="Garamond" w:hAnsi="Garamond" w:cs="Arial"/>
          <w:bCs/>
          <w:sz w:val="24"/>
          <w:szCs w:val="24"/>
          <w:lang w:val="en-IN"/>
        </w:rPr>
      </w:pPr>
      <w:r w:rsidRPr="00847023">
        <w:rPr>
          <w:rFonts w:ascii="Garamond" w:hAnsi="Garamond" w:cs="Arial"/>
          <w:bCs/>
          <w:sz w:val="24"/>
          <w:szCs w:val="24"/>
          <w:lang w:val="en-IN"/>
        </w:rPr>
        <w:t xml:space="preserve">As for the primary markets, in the recent years, broader trends indicate our economy increasingly shifting to market based financing and dependence on bank credit reducing over time. Lately, primary equity markets have witnessed a record growth despite the pandemic. The funds raised through IPOs in FY21 increased by more than 45% to around INR 310 billion from around INR 210 billion in the previous financial year. During the current financial year, till December 07, 2021, an all-time high of INR 980 billion has already been raised through IPOs, much higher than the combined figure of INR 680 billion of the last 3 years. </w:t>
      </w:r>
    </w:p>
    <w:p w:rsidR="008E4B65" w:rsidRPr="00B4197D" w:rsidRDefault="008E4B65" w:rsidP="009F1815">
      <w:pPr>
        <w:spacing w:before="240" w:after="240"/>
        <w:jc w:val="both"/>
        <w:rPr>
          <w:rFonts w:ascii="Garamond" w:hAnsi="Garamond" w:cs="Arial"/>
          <w:i/>
          <w:iCs/>
        </w:rPr>
      </w:pPr>
      <w:r w:rsidRPr="001034E7">
        <w:rPr>
          <w:rFonts w:ascii="Garamond" w:hAnsi="Garamond" w:cs="Arial"/>
        </w:rPr>
        <w:t xml:space="preserve"> </w:t>
      </w:r>
      <w:r w:rsidRPr="00B4197D">
        <w:rPr>
          <w:rFonts w:ascii="Garamond" w:hAnsi="Garamond" w:cs="Arial"/>
          <w:i/>
          <w:iCs/>
        </w:rPr>
        <w:t>OFS v/s fresh issue</w:t>
      </w:r>
    </w:p>
    <w:p w:rsidR="008E4B65" w:rsidRPr="001034E7" w:rsidRDefault="008E4B65" w:rsidP="009F1815">
      <w:pPr>
        <w:pStyle w:val="ListParagraph"/>
        <w:numPr>
          <w:ilvl w:val="0"/>
          <w:numId w:val="20"/>
        </w:numPr>
        <w:spacing w:after="240"/>
        <w:jc w:val="both"/>
        <w:rPr>
          <w:rFonts w:ascii="Garamond" w:hAnsi="Garamond" w:cs="Arial"/>
          <w:sz w:val="24"/>
          <w:szCs w:val="24"/>
        </w:rPr>
      </w:pPr>
      <w:r w:rsidRPr="001034E7">
        <w:rPr>
          <w:rFonts w:ascii="Garamond" w:hAnsi="Garamond" w:cs="Arial"/>
          <w:sz w:val="24"/>
          <w:szCs w:val="24"/>
        </w:rPr>
        <w:t xml:space="preserve">Let me pick up another well noted data point - OFS component as part of public issues continues to dominate in the recent years, contributing 86% of Public issues during FY 2019-20, 70% in FY 2020-21 and 62% this year (till November 2021). The new listings on stock exchanges largely provide an exit to existing investors rather than raising fresh capital. </w:t>
      </w:r>
    </w:p>
    <w:p w:rsidR="008E4B65" w:rsidRPr="001034E7" w:rsidRDefault="008E4B65" w:rsidP="00B4197D">
      <w:pPr>
        <w:pStyle w:val="ListParagraph"/>
        <w:jc w:val="both"/>
        <w:rPr>
          <w:rFonts w:ascii="Garamond" w:hAnsi="Garamond" w:cs="Arial"/>
          <w:sz w:val="24"/>
          <w:szCs w:val="24"/>
        </w:rPr>
      </w:pPr>
    </w:p>
    <w:p w:rsidR="008E4B65" w:rsidRPr="001034E7" w:rsidRDefault="008E4B65" w:rsidP="00B4197D">
      <w:pPr>
        <w:pStyle w:val="ListParagraph"/>
        <w:numPr>
          <w:ilvl w:val="0"/>
          <w:numId w:val="20"/>
        </w:numPr>
        <w:spacing w:after="160"/>
        <w:jc w:val="both"/>
        <w:rPr>
          <w:rFonts w:ascii="Garamond" w:hAnsi="Garamond" w:cs="Arial"/>
          <w:sz w:val="24"/>
          <w:szCs w:val="24"/>
        </w:rPr>
      </w:pPr>
      <w:r w:rsidRPr="001034E7">
        <w:rPr>
          <w:rFonts w:ascii="Garamond" w:hAnsi="Garamond" w:cs="Arial"/>
          <w:sz w:val="24"/>
          <w:szCs w:val="24"/>
        </w:rPr>
        <w:t>These trends observed over the last few years are set to continue in light of the rising influence of Venture capital / private equity in providing initial risk capital. To illustrate, global venture investment is on track to hit an all-time high of $580 bn this year, i.e. nearly 50% more than what was invested in 2020, and about 20 times that in 2002</w:t>
      </w:r>
      <w:r w:rsidRPr="001034E7">
        <w:rPr>
          <w:rStyle w:val="FootnoteReference"/>
          <w:rFonts w:ascii="Garamond" w:hAnsi="Garamond" w:cs="Arial"/>
          <w:sz w:val="24"/>
          <w:szCs w:val="24"/>
        </w:rPr>
        <w:footnoteReference w:id="4"/>
      </w:r>
      <w:r w:rsidRPr="001034E7">
        <w:rPr>
          <w:rFonts w:ascii="Garamond" w:hAnsi="Garamond" w:cs="Arial"/>
          <w:sz w:val="24"/>
          <w:szCs w:val="24"/>
        </w:rPr>
        <w:t xml:space="preserve">. Similarly, in India, current cumulative investments of INR 2.4 trillion by AIFs is almost 77 times of cumulative investment figure of INR 30 odd billion in March 2014. </w:t>
      </w:r>
    </w:p>
    <w:p w:rsidR="008E4B65" w:rsidRPr="001034E7" w:rsidRDefault="008E4B65" w:rsidP="001034E7">
      <w:pPr>
        <w:pStyle w:val="ListParagraph"/>
        <w:spacing w:after="0" w:line="240" w:lineRule="auto"/>
        <w:ind w:left="0"/>
        <w:jc w:val="both"/>
        <w:rPr>
          <w:rFonts w:ascii="Garamond" w:hAnsi="Garamond" w:cs="Arial"/>
          <w:sz w:val="24"/>
          <w:szCs w:val="24"/>
        </w:rPr>
      </w:pPr>
    </w:p>
    <w:p w:rsidR="008E4B65" w:rsidRPr="00D562A2" w:rsidRDefault="008E4B65" w:rsidP="001034E7">
      <w:pPr>
        <w:pStyle w:val="ListParagraph"/>
        <w:spacing w:after="0" w:line="240" w:lineRule="auto"/>
        <w:ind w:left="0"/>
        <w:jc w:val="both"/>
        <w:rPr>
          <w:rFonts w:ascii="Garamond" w:hAnsi="Garamond" w:cs="Arial"/>
          <w:b/>
          <w:bCs/>
          <w:sz w:val="24"/>
          <w:szCs w:val="24"/>
        </w:rPr>
      </w:pPr>
      <w:r w:rsidRPr="00D562A2">
        <w:rPr>
          <w:rFonts w:ascii="Garamond" w:hAnsi="Garamond" w:cs="Arial"/>
          <w:b/>
          <w:bCs/>
          <w:sz w:val="24"/>
          <w:szCs w:val="24"/>
        </w:rPr>
        <w:t>Trends and regulatory response</w:t>
      </w:r>
    </w:p>
    <w:p w:rsidR="008E4B65" w:rsidRPr="001034E7" w:rsidRDefault="008E4B65" w:rsidP="004E40DA">
      <w:pPr>
        <w:pStyle w:val="ListParagraph"/>
        <w:numPr>
          <w:ilvl w:val="0"/>
          <w:numId w:val="20"/>
        </w:numPr>
        <w:spacing w:after="160" w:line="240" w:lineRule="auto"/>
        <w:jc w:val="both"/>
        <w:rPr>
          <w:rFonts w:ascii="Garamond" w:hAnsi="Garamond" w:cs="Arial"/>
          <w:sz w:val="24"/>
          <w:szCs w:val="24"/>
        </w:rPr>
      </w:pPr>
      <w:r w:rsidRPr="001034E7">
        <w:rPr>
          <w:rFonts w:ascii="Garamond" w:hAnsi="Garamond" w:cs="Arial"/>
          <w:sz w:val="24"/>
          <w:szCs w:val="24"/>
        </w:rPr>
        <w:t xml:space="preserve">Let me now turn to some key trends in the primary markets and our regulatory response to these trends. </w:t>
      </w:r>
    </w:p>
    <w:p w:rsidR="008E4B65" w:rsidRPr="001034E7" w:rsidRDefault="008E4B65" w:rsidP="001034E7">
      <w:pPr>
        <w:pStyle w:val="ListParagraph"/>
        <w:spacing w:line="240" w:lineRule="auto"/>
        <w:ind w:left="360"/>
        <w:jc w:val="both"/>
        <w:rPr>
          <w:rFonts w:ascii="Garamond" w:hAnsi="Garamond" w:cs="Arial"/>
          <w:sz w:val="24"/>
          <w:szCs w:val="24"/>
          <w:u w:val="single"/>
        </w:rPr>
      </w:pPr>
    </w:p>
    <w:p w:rsidR="008E4B65" w:rsidRPr="00D562A2" w:rsidRDefault="008E4B65" w:rsidP="004E40DA">
      <w:pPr>
        <w:pStyle w:val="ListParagraph"/>
        <w:numPr>
          <w:ilvl w:val="1"/>
          <w:numId w:val="20"/>
        </w:numPr>
        <w:spacing w:after="160" w:line="240" w:lineRule="auto"/>
        <w:jc w:val="both"/>
        <w:rPr>
          <w:rFonts w:ascii="Garamond" w:hAnsi="Garamond" w:cs="Arial"/>
          <w:b/>
          <w:bCs/>
          <w:sz w:val="24"/>
          <w:szCs w:val="24"/>
        </w:rPr>
      </w:pPr>
      <w:r w:rsidRPr="001034E7">
        <w:rPr>
          <w:rFonts w:ascii="Garamond" w:hAnsi="Garamond" w:cs="Arial"/>
          <w:i/>
          <w:iCs/>
          <w:sz w:val="24"/>
          <w:szCs w:val="24"/>
        </w:rPr>
        <w:t xml:space="preserve"> </w:t>
      </w:r>
      <w:r w:rsidRPr="00D562A2">
        <w:rPr>
          <w:rFonts w:ascii="Garamond" w:hAnsi="Garamond" w:cs="Arial"/>
          <w:b/>
          <w:bCs/>
          <w:sz w:val="24"/>
          <w:szCs w:val="24"/>
        </w:rPr>
        <w:t>Fund raising and listing of new age tech companies</w:t>
      </w:r>
    </w:p>
    <w:p w:rsidR="008E4B65" w:rsidRPr="001034E7" w:rsidRDefault="008E4B65" w:rsidP="001034E7">
      <w:pPr>
        <w:pStyle w:val="ListParagraph"/>
        <w:spacing w:line="240" w:lineRule="auto"/>
        <w:jc w:val="both"/>
        <w:rPr>
          <w:rFonts w:ascii="Garamond" w:hAnsi="Garamond" w:cs="Arial"/>
          <w:i/>
          <w:iCs/>
          <w:sz w:val="24"/>
          <w:szCs w:val="24"/>
        </w:rPr>
      </w:pPr>
    </w:p>
    <w:p w:rsidR="008E4B65" w:rsidRPr="001034E7" w:rsidRDefault="008E4B65" w:rsidP="00B4197D">
      <w:pPr>
        <w:pStyle w:val="ListParagraph"/>
        <w:numPr>
          <w:ilvl w:val="0"/>
          <w:numId w:val="23"/>
        </w:numPr>
        <w:spacing w:after="160"/>
        <w:jc w:val="both"/>
        <w:rPr>
          <w:rFonts w:ascii="Garamond" w:hAnsi="Garamond" w:cs="Arial"/>
          <w:sz w:val="24"/>
          <w:szCs w:val="24"/>
        </w:rPr>
      </w:pPr>
      <w:r w:rsidRPr="001034E7">
        <w:rPr>
          <w:rFonts w:ascii="Garamond" w:hAnsi="Garamond" w:cs="Arial"/>
          <w:sz w:val="24"/>
          <w:szCs w:val="24"/>
        </w:rPr>
        <w:t>During the past year, we have witnessed the successful listing of several new age tech companies. These companies have raised a sum of over INR 420 bn through IPOs this year. This is an important landmark in further evolution of our equity markets.</w:t>
      </w:r>
    </w:p>
    <w:p w:rsidR="008E4B65" w:rsidRPr="001034E7" w:rsidRDefault="008E4B65" w:rsidP="00B4197D">
      <w:pPr>
        <w:pStyle w:val="ListParagraph"/>
        <w:jc w:val="both"/>
        <w:rPr>
          <w:rFonts w:ascii="Garamond" w:hAnsi="Garamond" w:cs="Arial"/>
          <w:sz w:val="24"/>
          <w:szCs w:val="24"/>
        </w:rPr>
      </w:pPr>
    </w:p>
    <w:p w:rsidR="008E4B65" w:rsidRPr="001034E7" w:rsidRDefault="008E4B65" w:rsidP="00B4197D">
      <w:pPr>
        <w:pStyle w:val="ListParagraph"/>
        <w:numPr>
          <w:ilvl w:val="0"/>
          <w:numId w:val="23"/>
        </w:numPr>
        <w:spacing w:after="160"/>
        <w:jc w:val="both"/>
        <w:rPr>
          <w:rFonts w:ascii="Garamond" w:hAnsi="Garamond" w:cs="Arial"/>
          <w:sz w:val="24"/>
          <w:szCs w:val="24"/>
        </w:rPr>
      </w:pPr>
      <w:r w:rsidRPr="001034E7">
        <w:rPr>
          <w:rFonts w:ascii="Garamond" w:hAnsi="Garamond" w:cs="Arial"/>
          <w:sz w:val="24"/>
          <w:szCs w:val="24"/>
        </w:rPr>
        <w:t>New age companies follow a unique business model, focusing more on rapid growth than immediate profitability. Despite continuing to incur losses, these companies have been successful in attracting investors. In fact, globally, of the top 100 firms listed in 2021, 54 are in red with cumulative losses of USD 71 billion</w:t>
      </w:r>
      <w:r w:rsidRPr="001034E7">
        <w:rPr>
          <w:rStyle w:val="FootnoteReference"/>
          <w:rFonts w:ascii="Garamond" w:hAnsi="Garamond" w:cs="Arial"/>
          <w:sz w:val="24"/>
          <w:szCs w:val="24"/>
        </w:rPr>
        <w:footnoteReference w:id="5"/>
      </w:r>
      <w:r w:rsidRPr="001034E7">
        <w:rPr>
          <w:rFonts w:ascii="Garamond" w:hAnsi="Garamond" w:cs="Arial"/>
          <w:sz w:val="24"/>
          <w:szCs w:val="24"/>
        </w:rPr>
        <w:t>.</w:t>
      </w:r>
    </w:p>
    <w:p w:rsidR="008E4B65" w:rsidRPr="001034E7" w:rsidRDefault="008E4B65" w:rsidP="00B4197D">
      <w:pPr>
        <w:pStyle w:val="ListParagraph"/>
        <w:jc w:val="both"/>
        <w:rPr>
          <w:rFonts w:ascii="Garamond" w:hAnsi="Garamond" w:cs="Arial"/>
          <w:sz w:val="24"/>
          <w:szCs w:val="24"/>
        </w:rPr>
      </w:pPr>
    </w:p>
    <w:p w:rsidR="008E4B65" w:rsidRPr="001034E7" w:rsidRDefault="008E4B65" w:rsidP="00B4197D">
      <w:pPr>
        <w:pStyle w:val="ListParagraph"/>
        <w:numPr>
          <w:ilvl w:val="0"/>
          <w:numId w:val="23"/>
        </w:numPr>
        <w:spacing w:after="160"/>
        <w:jc w:val="both"/>
        <w:rPr>
          <w:rFonts w:ascii="Garamond" w:hAnsi="Garamond" w:cs="Arial"/>
          <w:sz w:val="24"/>
          <w:szCs w:val="24"/>
        </w:rPr>
      </w:pPr>
      <w:r w:rsidRPr="001034E7">
        <w:rPr>
          <w:rFonts w:ascii="Garamond" w:hAnsi="Garamond" w:cs="Arial"/>
          <w:sz w:val="24"/>
          <w:szCs w:val="24"/>
        </w:rPr>
        <w:t>While several new age companies have listed successfully, we are, at the same time, taking measures to protect the interest of investors in such companies. Let me elaborate this:</w:t>
      </w:r>
    </w:p>
    <w:p w:rsidR="008E4B65" w:rsidRPr="001034E7" w:rsidRDefault="008E4B65" w:rsidP="00B4197D">
      <w:pPr>
        <w:pStyle w:val="ListParagraph"/>
        <w:rPr>
          <w:rFonts w:ascii="Garamond" w:hAnsi="Garamond" w:cs="Arial"/>
          <w:sz w:val="24"/>
          <w:szCs w:val="24"/>
        </w:rPr>
      </w:pPr>
    </w:p>
    <w:p w:rsidR="008E4B65" w:rsidRPr="001034E7" w:rsidRDefault="008E4B65" w:rsidP="00B4197D">
      <w:pPr>
        <w:pStyle w:val="ListParagraph"/>
        <w:numPr>
          <w:ilvl w:val="0"/>
          <w:numId w:val="24"/>
        </w:numPr>
        <w:spacing w:after="0"/>
        <w:jc w:val="both"/>
        <w:rPr>
          <w:rFonts w:ascii="Garamond" w:hAnsi="Garamond" w:cs="Arial"/>
          <w:sz w:val="24"/>
          <w:szCs w:val="24"/>
        </w:rPr>
      </w:pPr>
      <w:r w:rsidRPr="001034E7">
        <w:rPr>
          <w:rFonts w:ascii="Garamond" w:hAnsi="Garamond" w:cs="Arial"/>
          <w:sz w:val="24"/>
          <w:szCs w:val="24"/>
        </w:rPr>
        <w:t>New age tech companies, have relatively abstract objects of the offer, typically raising funds for 'Funding of Inorganic Growth Initiatives', through acquisitions or for ‘Funding organic growth’ through marketing and advertising spend. Given the uncertainty around such objects, we are considering the need for limiting a specific portion of fresh issue size for objects where companies have not specifically identified their intended acquisition / investment target in the offer document. We are also working on enhancing monitoring of use of proceeds raised by companies.</w:t>
      </w:r>
    </w:p>
    <w:p w:rsidR="008E4B65" w:rsidRPr="001034E7" w:rsidRDefault="008E4B65" w:rsidP="00B4197D">
      <w:pPr>
        <w:pStyle w:val="ListParagraph"/>
        <w:spacing w:after="0"/>
        <w:jc w:val="both"/>
        <w:rPr>
          <w:rFonts w:ascii="Garamond" w:hAnsi="Garamond" w:cs="Arial"/>
          <w:sz w:val="24"/>
          <w:szCs w:val="24"/>
        </w:rPr>
      </w:pPr>
    </w:p>
    <w:p w:rsidR="008E4B65" w:rsidRPr="001034E7" w:rsidRDefault="008E4B65" w:rsidP="00B4197D">
      <w:pPr>
        <w:pStyle w:val="ListParagraph"/>
        <w:numPr>
          <w:ilvl w:val="0"/>
          <w:numId w:val="24"/>
        </w:numPr>
        <w:spacing w:after="0"/>
        <w:jc w:val="both"/>
        <w:rPr>
          <w:rFonts w:ascii="Garamond" w:hAnsi="Garamond" w:cs="Arial"/>
          <w:sz w:val="24"/>
          <w:szCs w:val="24"/>
        </w:rPr>
      </w:pPr>
      <w:r w:rsidRPr="001034E7">
        <w:rPr>
          <w:rFonts w:ascii="Garamond" w:hAnsi="Garamond" w:cs="Arial"/>
          <w:sz w:val="24"/>
          <w:szCs w:val="24"/>
        </w:rPr>
        <w:t>With regard to disclosures by new age tech companies, the typical financial parameters that are disclosed do not suffice and there is a need for additional disclosure of certain key performance indicators (KPIs); so, while giving our observations on offer documents, we have started insisting on relevant KPIs to be disclosed on a quarterly basis by these companies.</w:t>
      </w:r>
    </w:p>
    <w:p w:rsidR="008E4B65" w:rsidRPr="001034E7" w:rsidRDefault="008E4B65" w:rsidP="001034E7">
      <w:pPr>
        <w:jc w:val="both"/>
        <w:rPr>
          <w:rFonts w:ascii="Garamond" w:hAnsi="Garamond" w:cs="Arial"/>
          <w:lang w:val="en-US"/>
        </w:rPr>
      </w:pPr>
    </w:p>
    <w:p w:rsidR="008E4B65" w:rsidRPr="00D562A2" w:rsidRDefault="008E4B65" w:rsidP="004E40DA">
      <w:pPr>
        <w:pStyle w:val="ListParagraph"/>
        <w:numPr>
          <w:ilvl w:val="1"/>
          <w:numId w:val="20"/>
        </w:numPr>
        <w:spacing w:after="160" w:line="240" w:lineRule="auto"/>
        <w:jc w:val="both"/>
        <w:rPr>
          <w:rFonts w:ascii="Garamond" w:hAnsi="Garamond" w:cs="Arial"/>
          <w:b/>
          <w:bCs/>
          <w:sz w:val="24"/>
          <w:szCs w:val="24"/>
        </w:rPr>
      </w:pPr>
      <w:r w:rsidRPr="00D562A2">
        <w:rPr>
          <w:rFonts w:ascii="Garamond" w:hAnsi="Garamond" w:cs="Arial"/>
          <w:b/>
          <w:bCs/>
          <w:sz w:val="24"/>
          <w:szCs w:val="24"/>
        </w:rPr>
        <w:t xml:space="preserve"> Sustainable finance</w:t>
      </w:r>
    </w:p>
    <w:p w:rsidR="008E4B65" w:rsidRPr="001034E7" w:rsidRDefault="008E4B65" w:rsidP="001034E7">
      <w:pPr>
        <w:pStyle w:val="ListParagraph"/>
        <w:spacing w:line="240" w:lineRule="auto"/>
        <w:jc w:val="both"/>
        <w:rPr>
          <w:rFonts w:ascii="Garamond" w:hAnsi="Garamond" w:cs="Arial"/>
          <w:sz w:val="24"/>
          <w:szCs w:val="24"/>
          <w:u w:val="single"/>
        </w:rPr>
      </w:pPr>
    </w:p>
    <w:p w:rsidR="008E4B65" w:rsidRPr="001034E7" w:rsidRDefault="008E4B65" w:rsidP="00B4197D">
      <w:pPr>
        <w:pStyle w:val="ListParagraph"/>
        <w:numPr>
          <w:ilvl w:val="0"/>
          <w:numId w:val="22"/>
        </w:numPr>
        <w:spacing w:after="160"/>
        <w:jc w:val="both"/>
        <w:rPr>
          <w:rFonts w:ascii="Garamond" w:hAnsi="Garamond" w:cs="Arial"/>
          <w:sz w:val="24"/>
          <w:szCs w:val="24"/>
        </w:rPr>
      </w:pPr>
      <w:r w:rsidRPr="001034E7">
        <w:rPr>
          <w:rFonts w:ascii="Garamond" w:hAnsi="Garamond" w:cs="Arial"/>
          <w:sz w:val="24"/>
          <w:szCs w:val="24"/>
        </w:rPr>
        <w:t xml:space="preserve">Another emerging area is sustainable finance. Sustainability related risks and opportunities are increasingly driving capital allocation decisions, which is reflected in the increase in the total assets and inflows in sustainable funds globally. </w:t>
      </w:r>
    </w:p>
    <w:p w:rsidR="008E4B65" w:rsidRPr="001034E7" w:rsidRDefault="008E4B65" w:rsidP="00B4197D">
      <w:pPr>
        <w:pStyle w:val="ListParagraph"/>
        <w:jc w:val="both"/>
        <w:rPr>
          <w:rFonts w:ascii="Garamond" w:hAnsi="Garamond" w:cs="Arial"/>
          <w:sz w:val="24"/>
          <w:szCs w:val="24"/>
        </w:rPr>
      </w:pPr>
    </w:p>
    <w:p w:rsidR="008E4B65" w:rsidRPr="001034E7" w:rsidRDefault="008E4B65" w:rsidP="00B4197D">
      <w:pPr>
        <w:pStyle w:val="ListParagraph"/>
        <w:numPr>
          <w:ilvl w:val="0"/>
          <w:numId w:val="22"/>
        </w:numPr>
        <w:spacing w:after="160"/>
        <w:jc w:val="both"/>
        <w:rPr>
          <w:rFonts w:ascii="Garamond" w:hAnsi="Garamond" w:cs="Arial"/>
          <w:sz w:val="24"/>
          <w:szCs w:val="24"/>
        </w:rPr>
      </w:pPr>
      <w:r w:rsidRPr="001034E7">
        <w:rPr>
          <w:rFonts w:ascii="Garamond" w:hAnsi="Garamond" w:cs="Arial"/>
          <w:sz w:val="24"/>
          <w:szCs w:val="24"/>
        </w:rPr>
        <w:t>We are also witnessing a number of new sustainable investing instruments globally, such as green bonds, social bonds, blue bonds etc.</w:t>
      </w:r>
    </w:p>
    <w:p w:rsidR="008E4B65" w:rsidRPr="001034E7" w:rsidRDefault="008E4B65" w:rsidP="00B4197D">
      <w:pPr>
        <w:pStyle w:val="ListParagraph"/>
        <w:rPr>
          <w:rFonts w:ascii="Garamond" w:hAnsi="Garamond" w:cs="Arial"/>
          <w:sz w:val="24"/>
          <w:szCs w:val="24"/>
        </w:rPr>
      </w:pPr>
    </w:p>
    <w:p w:rsidR="008E4B65" w:rsidRDefault="008E4B65" w:rsidP="00B4197D">
      <w:pPr>
        <w:pStyle w:val="ListParagraph"/>
        <w:numPr>
          <w:ilvl w:val="0"/>
          <w:numId w:val="22"/>
        </w:numPr>
        <w:spacing w:after="160"/>
        <w:jc w:val="both"/>
        <w:rPr>
          <w:rFonts w:ascii="Garamond" w:hAnsi="Garamond" w:cs="Arial"/>
          <w:sz w:val="24"/>
          <w:szCs w:val="24"/>
        </w:rPr>
      </w:pPr>
      <w:r w:rsidRPr="001034E7">
        <w:rPr>
          <w:rFonts w:ascii="Garamond" w:hAnsi="Garamond" w:cs="Arial"/>
          <w:sz w:val="24"/>
          <w:szCs w:val="24"/>
        </w:rPr>
        <w:t>In view of the increasing focus on sustainability investing, SEBI has recently introduced new requirements for sustainability reporting called the Business Responsibility and Sustainability Report. Apart from corporate disclosures, ESG aspects of the asset management industry and ESG ratings are other areas which are drawing our regulatory attention.</w:t>
      </w:r>
    </w:p>
    <w:p w:rsidR="009F1815" w:rsidRPr="009F1815" w:rsidRDefault="009F1815" w:rsidP="009F1815">
      <w:pPr>
        <w:pStyle w:val="ListParagraph"/>
        <w:rPr>
          <w:rFonts w:ascii="Garamond" w:hAnsi="Garamond" w:cs="Arial"/>
          <w:sz w:val="24"/>
          <w:szCs w:val="24"/>
        </w:rPr>
      </w:pPr>
    </w:p>
    <w:p w:rsidR="008E4B65" w:rsidRPr="00D562A2" w:rsidRDefault="008E4B65" w:rsidP="004E40DA">
      <w:pPr>
        <w:pStyle w:val="ListParagraph"/>
        <w:numPr>
          <w:ilvl w:val="1"/>
          <w:numId w:val="20"/>
        </w:numPr>
        <w:spacing w:after="0" w:line="240" w:lineRule="auto"/>
        <w:jc w:val="both"/>
        <w:rPr>
          <w:rFonts w:ascii="Garamond" w:eastAsia="Times New Roman" w:hAnsi="Garamond" w:cs="Calibri"/>
          <w:b/>
          <w:bCs/>
          <w:sz w:val="24"/>
          <w:szCs w:val="24"/>
          <w:lang w:eastAsia="en-IN" w:bidi="hi-IN"/>
        </w:rPr>
      </w:pPr>
      <w:r w:rsidRPr="00D562A2">
        <w:rPr>
          <w:rFonts w:ascii="Garamond" w:eastAsia="Times New Roman" w:hAnsi="Garamond" w:cs="Arial"/>
          <w:b/>
          <w:bCs/>
          <w:sz w:val="24"/>
          <w:szCs w:val="24"/>
          <w:lang w:eastAsia="en-IN" w:bidi="hi-IN"/>
        </w:rPr>
        <w:t>New products – REITs and InvITs</w:t>
      </w:r>
    </w:p>
    <w:p w:rsidR="008E4B65" w:rsidRPr="00D562A2" w:rsidRDefault="008E4B65" w:rsidP="001034E7">
      <w:pPr>
        <w:pStyle w:val="ListParagraph"/>
        <w:spacing w:line="240" w:lineRule="auto"/>
        <w:ind w:left="786"/>
        <w:jc w:val="both"/>
        <w:rPr>
          <w:rFonts w:ascii="Garamond" w:eastAsia="Times New Roman" w:hAnsi="Garamond" w:cs="Calibri"/>
          <w:sz w:val="24"/>
          <w:szCs w:val="24"/>
          <w:lang w:eastAsia="en-IN" w:bidi="hi-IN"/>
        </w:rPr>
      </w:pPr>
    </w:p>
    <w:p w:rsidR="008E4B65" w:rsidRPr="001034E7" w:rsidRDefault="008E4B65" w:rsidP="009F1815">
      <w:pPr>
        <w:pStyle w:val="ListParagraph"/>
        <w:numPr>
          <w:ilvl w:val="0"/>
          <w:numId w:val="26"/>
        </w:numPr>
        <w:spacing w:after="0"/>
        <w:jc w:val="both"/>
        <w:rPr>
          <w:rFonts w:ascii="Garamond" w:eastAsia="Times New Roman" w:hAnsi="Garamond"/>
          <w:sz w:val="24"/>
          <w:szCs w:val="24"/>
          <w:lang w:eastAsia="en-IN" w:bidi="hi-IN"/>
        </w:rPr>
      </w:pPr>
      <w:r w:rsidRPr="001034E7">
        <w:rPr>
          <w:rFonts w:ascii="Garamond" w:eastAsia="Times New Roman" w:hAnsi="Garamond" w:cs="Arial"/>
          <w:color w:val="000000"/>
          <w:sz w:val="24"/>
          <w:szCs w:val="24"/>
          <w:lang w:eastAsia="en-IN" w:bidi="hi-IN"/>
        </w:rPr>
        <w:t>From raising funds through traditional equity and debt instruments, corporates are diversifying into a number of new instruments such as REITs and InvITs. As on November end 2021, there were 14 InvITs and 4 REITs registered with SEBI. The recent success of these vehicles can be judged by the sizeable increase in funds raised. In FY 2020, total funds mobilized by REITs &amp; InvITs was INR 115 billion which rose to INR 547 billion in FY 2021.</w:t>
      </w:r>
    </w:p>
    <w:p w:rsidR="008E4B65" w:rsidRPr="001034E7" w:rsidRDefault="008E4B65" w:rsidP="009F1815">
      <w:pPr>
        <w:spacing w:line="276" w:lineRule="auto"/>
        <w:ind w:left="720"/>
        <w:jc w:val="both"/>
        <w:rPr>
          <w:rFonts w:ascii="Garamond" w:eastAsia="Times New Roman" w:hAnsi="Garamond"/>
          <w:lang w:eastAsia="en-IN" w:bidi="hi-IN"/>
        </w:rPr>
      </w:pPr>
      <w:r w:rsidRPr="001034E7">
        <w:rPr>
          <w:rFonts w:ascii="Garamond" w:eastAsia="Times New Roman" w:hAnsi="Garamond" w:cs="Calibri"/>
          <w:color w:val="000000"/>
          <w:lang w:eastAsia="en-IN" w:bidi="hi-IN"/>
        </w:rPr>
        <w:t> </w:t>
      </w:r>
    </w:p>
    <w:p w:rsidR="008E4B65" w:rsidRPr="001034E7" w:rsidRDefault="008E4B65" w:rsidP="009F1815">
      <w:pPr>
        <w:spacing w:line="276" w:lineRule="auto"/>
        <w:ind w:left="720" w:hanging="360"/>
        <w:jc w:val="both"/>
        <w:rPr>
          <w:rFonts w:ascii="Garamond" w:eastAsia="Times New Roman" w:hAnsi="Garamond"/>
          <w:lang w:eastAsia="en-IN" w:bidi="hi-IN"/>
        </w:rPr>
      </w:pPr>
      <w:r w:rsidRPr="001034E7">
        <w:rPr>
          <w:rFonts w:ascii="Garamond" w:eastAsia="Times New Roman" w:hAnsi="Garamond" w:cs="Arial"/>
          <w:color w:val="000000"/>
          <w:lang w:eastAsia="en-IN" w:bidi="hi-IN"/>
        </w:rPr>
        <w:t>b.</w:t>
      </w:r>
      <w:r w:rsidR="009F1815">
        <w:rPr>
          <w:rFonts w:ascii="Garamond" w:eastAsia="Times New Roman" w:hAnsi="Garamond"/>
          <w:color w:val="000000"/>
          <w:lang w:eastAsia="en-IN" w:bidi="hi-IN"/>
        </w:rPr>
        <w:t xml:space="preserve">    </w:t>
      </w:r>
      <w:r w:rsidRPr="001034E7">
        <w:rPr>
          <w:rFonts w:ascii="Garamond" w:eastAsia="Times New Roman" w:hAnsi="Garamond" w:cs="Arial"/>
          <w:color w:val="000000"/>
          <w:lang w:val="en-US" w:eastAsia="en-IN" w:bidi="hi-IN"/>
        </w:rPr>
        <w:t>SEBI has taken several initiatives to facilitate the listing REITs/ Invits and strengthen the regulatory framework for these products; these are expected to generate further traction in infrastructure and real estate financing.</w:t>
      </w:r>
    </w:p>
    <w:p w:rsidR="008E4B65" w:rsidRPr="001034E7" w:rsidRDefault="008E4B65" w:rsidP="001034E7">
      <w:pPr>
        <w:jc w:val="both"/>
        <w:rPr>
          <w:rFonts w:ascii="Garamond" w:hAnsi="Garamond" w:cs="Arial"/>
          <w:b/>
          <w:bCs/>
          <w:i/>
          <w:iCs/>
          <w:lang w:val="en-US"/>
        </w:rPr>
      </w:pPr>
    </w:p>
    <w:p w:rsidR="008E4B65" w:rsidRPr="00D562A2" w:rsidRDefault="008E4B65" w:rsidP="001034E7">
      <w:pPr>
        <w:jc w:val="both"/>
        <w:rPr>
          <w:rFonts w:ascii="Garamond" w:hAnsi="Garamond" w:cs="Arial"/>
          <w:b/>
          <w:bCs/>
          <w:lang w:val="en-US"/>
        </w:rPr>
      </w:pPr>
      <w:r w:rsidRPr="00D562A2">
        <w:rPr>
          <w:rFonts w:ascii="Garamond" w:hAnsi="Garamond" w:cs="Arial"/>
          <w:b/>
          <w:bCs/>
          <w:lang w:val="en-US"/>
        </w:rPr>
        <w:t>Regulatory reforms</w:t>
      </w:r>
    </w:p>
    <w:p w:rsidR="008E4B65" w:rsidRPr="001034E7" w:rsidRDefault="008E4B65" w:rsidP="00B4197D">
      <w:pPr>
        <w:pStyle w:val="ListParagraph"/>
        <w:numPr>
          <w:ilvl w:val="0"/>
          <w:numId w:val="20"/>
        </w:numPr>
        <w:spacing w:after="160"/>
        <w:jc w:val="both"/>
        <w:rPr>
          <w:rFonts w:ascii="Garamond" w:hAnsi="Garamond" w:cs="Arial"/>
          <w:sz w:val="24"/>
          <w:szCs w:val="24"/>
        </w:rPr>
      </w:pPr>
      <w:r w:rsidRPr="001034E7">
        <w:rPr>
          <w:rFonts w:ascii="Garamond" w:hAnsi="Garamond" w:cs="Arial"/>
          <w:sz w:val="24"/>
          <w:szCs w:val="24"/>
        </w:rPr>
        <w:t xml:space="preserve">Let me also briefly touch upon some recent and ongoing regulatory reforms relevant for primary markets. </w:t>
      </w:r>
    </w:p>
    <w:p w:rsidR="008E4B65" w:rsidRPr="001034E7" w:rsidRDefault="008E4B65" w:rsidP="00B4197D">
      <w:pPr>
        <w:pStyle w:val="ListParagraph"/>
        <w:numPr>
          <w:ilvl w:val="0"/>
          <w:numId w:val="21"/>
        </w:numPr>
        <w:spacing w:after="0"/>
        <w:ind w:left="1080"/>
        <w:jc w:val="both"/>
        <w:rPr>
          <w:rFonts w:ascii="Garamond" w:hAnsi="Garamond" w:cs="Arial"/>
          <w:sz w:val="24"/>
          <w:szCs w:val="24"/>
        </w:rPr>
      </w:pPr>
      <w:r w:rsidRPr="001034E7">
        <w:rPr>
          <w:rFonts w:ascii="Garamond" w:hAnsi="Garamond" w:cs="Arial"/>
          <w:sz w:val="24"/>
          <w:szCs w:val="24"/>
        </w:rPr>
        <w:t xml:space="preserve">Recent important primary market reforms include relaxation of the lock-in requirements of promoter shareholding and for persons other than promoters, rationalization of the definition of ‘promoter group’, liberalization of the differential voting right framework with appropriate checks and balances to protect the intellectual capital of founders of tech companies, rewriting of the ESOPs regulations, keeping the interest of start-ups and gig economy workers in mind and doing away with reverse book building for delisting through takeover to further incentivize the market for corporate control. </w:t>
      </w:r>
    </w:p>
    <w:p w:rsidR="008E4B65" w:rsidRPr="001034E7" w:rsidRDefault="008E4B65" w:rsidP="00B4197D">
      <w:pPr>
        <w:pStyle w:val="ListParagraph"/>
        <w:ind w:left="1080"/>
        <w:rPr>
          <w:rFonts w:ascii="Garamond" w:hAnsi="Garamond" w:cs="Arial"/>
          <w:sz w:val="24"/>
          <w:szCs w:val="24"/>
        </w:rPr>
      </w:pPr>
    </w:p>
    <w:p w:rsidR="008E4B65" w:rsidRPr="001034E7" w:rsidRDefault="008E4B65" w:rsidP="00B4197D">
      <w:pPr>
        <w:pStyle w:val="ListParagraph"/>
        <w:numPr>
          <w:ilvl w:val="0"/>
          <w:numId w:val="21"/>
        </w:numPr>
        <w:spacing w:after="160"/>
        <w:ind w:left="1080"/>
        <w:jc w:val="both"/>
        <w:rPr>
          <w:rFonts w:ascii="Garamond" w:hAnsi="Garamond" w:cs="Arial"/>
          <w:sz w:val="24"/>
          <w:szCs w:val="24"/>
        </w:rPr>
      </w:pPr>
      <w:r w:rsidRPr="001034E7">
        <w:rPr>
          <w:rFonts w:ascii="Garamond" w:hAnsi="Garamond" w:cs="Arial"/>
          <w:sz w:val="24"/>
          <w:szCs w:val="24"/>
        </w:rPr>
        <w:t xml:space="preserve">The ongoing reforms agenda also includes revisiting the preferential allotments framework, reviewing the price band and book-building framework for public issues and </w:t>
      </w:r>
      <w:r w:rsidRPr="001034E7">
        <w:rPr>
          <w:rFonts w:ascii="Garamond" w:eastAsia="Times New Roman" w:hAnsi="Garamond" w:cs="Arial"/>
          <w:sz w:val="24"/>
          <w:szCs w:val="24"/>
          <w:lang w:eastAsia="en-IN"/>
        </w:rPr>
        <w:t xml:space="preserve">shifting from the concept of promoter to ‘person in control’ or ‘controlling shareholders’ in a smooth, progressive and holistic manner. </w:t>
      </w:r>
    </w:p>
    <w:p w:rsidR="008E4B65" w:rsidRPr="001034E7" w:rsidRDefault="008E4B65" w:rsidP="00B4197D">
      <w:pPr>
        <w:pStyle w:val="ListParagraph"/>
        <w:ind w:left="1080"/>
        <w:rPr>
          <w:rFonts w:ascii="Garamond" w:eastAsia="Times New Roman" w:hAnsi="Garamond" w:cs="Arial"/>
          <w:sz w:val="24"/>
          <w:szCs w:val="24"/>
          <w:lang w:eastAsia="en-IN"/>
        </w:rPr>
      </w:pPr>
    </w:p>
    <w:p w:rsidR="008E4B65" w:rsidRPr="001034E7" w:rsidRDefault="008E4B65" w:rsidP="00B4197D">
      <w:pPr>
        <w:pStyle w:val="ListParagraph"/>
        <w:numPr>
          <w:ilvl w:val="0"/>
          <w:numId w:val="21"/>
        </w:numPr>
        <w:spacing w:after="160"/>
        <w:ind w:left="1080"/>
        <w:jc w:val="both"/>
        <w:rPr>
          <w:rFonts w:ascii="Garamond" w:hAnsi="Garamond" w:cs="Arial"/>
          <w:sz w:val="24"/>
          <w:szCs w:val="24"/>
        </w:rPr>
      </w:pPr>
      <w:r w:rsidRPr="001034E7">
        <w:rPr>
          <w:rFonts w:ascii="Garamond" w:eastAsia="Times New Roman" w:hAnsi="Garamond" w:cs="Arial"/>
          <w:sz w:val="24"/>
          <w:szCs w:val="24"/>
          <w:lang w:eastAsia="en-IN"/>
        </w:rPr>
        <w:t>Let me also add a quick word on furthering the needs of social enterprises by leveraging our primary market capabilities. We are working on operationalizing the framework of social stock exchange, for the benefit of the social sector. A number of new instruments and structures are being created to facilitate fund raising by non-profit organizations, such as Zero coupon zero principle instruments, social impact funds and development impact bonds.</w:t>
      </w:r>
    </w:p>
    <w:p w:rsidR="008E4B65" w:rsidRPr="001034E7" w:rsidRDefault="008E4B65" w:rsidP="001034E7">
      <w:pPr>
        <w:pStyle w:val="ListParagraph"/>
        <w:spacing w:after="0" w:line="240" w:lineRule="auto"/>
        <w:jc w:val="both"/>
        <w:rPr>
          <w:rFonts w:ascii="Garamond" w:eastAsia="Times New Roman" w:hAnsi="Garamond" w:cs="Arial"/>
          <w:sz w:val="24"/>
          <w:szCs w:val="24"/>
          <w:lang w:eastAsia="en-IN"/>
        </w:rPr>
      </w:pPr>
    </w:p>
    <w:p w:rsidR="008E4B65" w:rsidRPr="00D562A2" w:rsidRDefault="008E4B65" w:rsidP="001034E7">
      <w:pPr>
        <w:pStyle w:val="ListParagraph"/>
        <w:spacing w:line="240" w:lineRule="auto"/>
        <w:ind w:left="0"/>
        <w:jc w:val="both"/>
        <w:rPr>
          <w:rFonts w:ascii="Garamond" w:hAnsi="Garamond" w:cs="Arial"/>
          <w:b/>
          <w:bCs/>
          <w:sz w:val="24"/>
          <w:szCs w:val="24"/>
        </w:rPr>
      </w:pPr>
      <w:r w:rsidRPr="00D562A2">
        <w:rPr>
          <w:rFonts w:ascii="Garamond" w:hAnsi="Garamond" w:cs="Arial"/>
          <w:b/>
          <w:bCs/>
          <w:sz w:val="24"/>
          <w:szCs w:val="24"/>
        </w:rPr>
        <w:t>Expectations from merchant bankers</w:t>
      </w:r>
    </w:p>
    <w:p w:rsidR="008E4B65" w:rsidRPr="001034E7" w:rsidRDefault="008E4B65" w:rsidP="001034E7">
      <w:pPr>
        <w:pStyle w:val="ListParagraph"/>
        <w:spacing w:line="240" w:lineRule="auto"/>
        <w:ind w:left="0"/>
        <w:jc w:val="both"/>
        <w:rPr>
          <w:rFonts w:ascii="Garamond" w:hAnsi="Garamond" w:cs="Arial"/>
          <w:b/>
          <w:bCs/>
          <w:i/>
          <w:iCs/>
          <w:sz w:val="24"/>
          <w:szCs w:val="24"/>
        </w:rPr>
      </w:pPr>
    </w:p>
    <w:p w:rsidR="008E4B65" w:rsidRPr="001034E7" w:rsidRDefault="008E4B65" w:rsidP="00B4197D">
      <w:pPr>
        <w:pStyle w:val="ListParagraph"/>
        <w:numPr>
          <w:ilvl w:val="0"/>
          <w:numId w:val="20"/>
        </w:numPr>
        <w:spacing w:after="160"/>
        <w:jc w:val="both"/>
        <w:rPr>
          <w:rFonts w:ascii="Garamond" w:hAnsi="Garamond" w:cs="Arial"/>
          <w:sz w:val="24"/>
          <w:szCs w:val="24"/>
        </w:rPr>
      </w:pPr>
      <w:r w:rsidRPr="001034E7">
        <w:rPr>
          <w:rFonts w:ascii="Garamond" w:hAnsi="Garamond" w:cs="Arial"/>
          <w:sz w:val="24"/>
          <w:szCs w:val="24"/>
        </w:rPr>
        <w:t xml:space="preserve">Turning to the regulatory expectations from merchant bankers, let me outline the need for enhancing the level of due diligence by merchant bankers to ensure that investors are provided with true and adequate information without making any misleading or exaggerated claims. To state the obvious, due diligence is not a mere tick-box exercise and merchant bankers should go beyond relying on declarations and undertakings given by companies and promoters. </w:t>
      </w:r>
    </w:p>
    <w:p w:rsidR="008E4B65" w:rsidRPr="001034E7" w:rsidRDefault="008E4B65" w:rsidP="00B4197D">
      <w:pPr>
        <w:pStyle w:val="ListParagraph"/>
        <w:ind w:left="360"/>
        <w:jc w:val="both"/>
        <w:rPr>
          <w:rFonts w:ascii="Garamond" w:hAnsi="Garamond" w:cs="Arial"/>
          <w:sz w:val="24"/>
          <w:szCs w:val="24"/>
        </w:rPr>
      </w:pPr>
    </w:p>
    <w:p w:rsidR="008E4B65" w:rsidRPr="001034E7" w:rsidRDefault="008E4B65" w:rsidP="0059680B">
      <w:pPr>
        <w:pStyle w:val="ListParagraph"/>
        <w:numPr>
          <w:ilvl w:val="0"/>
          <w:numId w:val="20"/>
        </w:numPr>
        <w:spacing w:after="0"/>
        <w:jc w:val="both"/>
        <w:rPr>
          <w:rFonts w:ascii="Garamond" w:hAnsi="Garamond" w:cs="Arial"/>
          <w:sz w:val="24"/>
          <w:szCs w:val="24"/>
        </w:rPr>
      </w:pPr>
      <w:r w:rsidRPr="001034E7">
        <w:rPr>
          <w:rFonts w:ascii="Garamond" w:hAnsi="Garamond" w:cs="Arial"/>
          <w:sz w:val="24"/>
          <w:szCs w:val="24"/>
        </w:rPr>
        <w:t xml:space="preserve">Based on our experience of scrutinizing DRHPs, let me share our observations on some specific areas. </w:t>
      </w:r>
    </w:p>
    <w:p w:rsidR="008E4B65" w:rsidRPr="001034E7" w:rsidRDefault="008E4B65" w:rsidP="0059680B">
      <w:pPr>
        <w:pStyle w:val="ListParagraph"/>
        <w:numPr>
          <w:ilvl w:val="0"/>
          <w:numId w:val="25"/>
        </w:numPr>
        <w:spacing w:after="0"/>
        <w:ind w:left="786"/>
        <w:jc w:val="both"/>
        <w:rPr>
          <w:rFonts w:ascii="Garamond" w:hAnsi="Garamond" w:cs="Arial"/>
          <w:sz w:val="24"/>
          <w:szCs w:val="24"/>
        </w:rPr>
      </w:pPr>
      <w:r w:rsidRPr="001034E7">
        <w:rPr>
          <w:rFonts w:ascii="Garamond" w:hAnsi="Garamond" w:cs="Arial"/>
          <w:i/>
          <w:iCs/>
          <w:sz w:val="24"/>
          <w:szCs w:val="24"/>
        </w:rPr>
        <w:t xml:space="preserve">Responsible valuations: </w:t>
      </w:r>
      <w:r w:rsidRPr="001034E7">
        <w:rPr>
          <w:rFonts w:ascii="Garamond" w:hAnsi="Garamond" w:cs="Arial"/>
          <w:sz w:val="24"/>
          <w:szCs w:val="24"/>
        </w:rPr>
        <w:t xml:space="preserve">Let me begin with the elephant in the room viz. valuations. We expect Merchant Bankers to play an important role in ensuring responsible valuations that reflect the </w:t>
      </w:r>
      <w:r w:rsidRPr="001034E7">
        <w:rPr>
          <w:rFonts w:ascii="Garamond" w:hAnsi="Garamond" w:cs="Arial"/>
          <w:sz w:val="24"/>
          <w:szCs w:val="24"/>
        </w:rPr>
        <w:lastRenderedPageBreak/>
        <w:t>fundamentals and business model of the companies. This is essential for attracting and maintaining the confidence of investors in the IPO market.</w:t>
      </w:r>
    </w:p>
    <w:p w:rsidR="008E4B65" w:rsidRPr="001034E7" w:rsidRDefault="008E4B65" w:rsidP="00B4197D">
      <w:pPr>
        <w:pStyle w:val="ListParagraph"/>
        <w:ind w:left="786"/>
        <w:jc w:val="both"/>
        <w:rPr>
          <w:rFonts w:ascii="Garamond" w:hAnsi="Garamond" w:cs="Arial"/>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sz w:val="24"/>
          <w:szCs w:val="24"/>
        </w:rPr>
      </w:pPr>
      <w:r w:rsidRPr="001034E7">
        <w:rPr>
          <w:rFonts w:ascii="Garamond" w:hAnsi="Garamond" w:cs="Arial"/>
          <w:i/>
          <w:iCs/>
          <w:sz w:val="24"/>
          <w:szCs w:val="24"/>
        </w:rPr>
        <w:t>Risk Factors</w:t>
      </w:r>
      <w:r w:rsidRPr="001034E7">
        <w:rPr>
          <w:rFonts w:ascii="Garamond" w:hAnsi="Garamond" w:cs="Arial"/>
          <w:sz w:val="24"/>
          <w:szCs w:val="24"/>
        </w:rPr>
        <w:t xml:space="preserve">: At times risk factors as disclosed are too generic, lack adequate specificity, qualified with caveats and do not give a very clear sense. It will be helpful if RFs are defined more distinctly and sharply with a clear identification of the potential impact on the company. </w:t>
      </w:r>
    </w:p>
    <w:p w:rsidR="008E4B65" w:rsidRPr="001034E7" w:rsidRDefault="008E4B65" w:rsidP="00B4197D">
      <w:pPr>
        <w:pStyle w:val="ListParagraph"/>
        <w:ind w:left="786"/>
        <w:rPr>
          <w:rFonts w:ascii="Garamond" w:hAnsi="Garamond" w:cs="Arial"/>
          <w:i/>
          <w:iCs/>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sz w:val="24"/>
          <w:szCs w:val="24"/>
        </w:rPr>
      </w:pPr>
      <w:r w:rsidRPr="001034E7">
        <w:rPr>
          <w:rFonts w:ascii="Garamond" w:hAnsi="Garamond" w:cs="Arial"/>
          <w:i/>
          <w:iCs/>
          <w:sz w:val="24"/>
          <w:szCs w:val="24"/>
        </w:rPr>
        <w:t>Industry reports</w:t>
      </w:r>
      <w:r w:rsidRPr="001034E7">
        <w:rPr>
          <w:rFonts w:ascii="Garamond" w:hAnsi="Garamond" w:cs="Arial"/>
          <w:sz w:val="24"/>
          <w:szCs w:val="24"/>
        </w:rPr>
        <w:t>:</w:t>
      </w:r>
      <w:r w:rsidRPr="001034E7">
        <w:rPr>
          <w:rFonts w:ascii="Garamond" w:hAnsi="Garamond" w:cs="Arial"/>
          <w:i/>
          <w:iCs/>
          <w:sz w:val="24"/>
          <w:szCs w:val="24"/>
        </w:rPr>
        <w:t xml:space="preserve"> </w:t>
      </w:r>
      <w:r w:rsidRPr="001034E7">
        <w:rPr>
          <w:rFonts w:ascii="Garamond" w:hAnsi="Garamond" w:cs="Arial"/>
          <w:sz w:val="24"/>
          <w:szCs w:val="24"/>
        </w:rPr>
        <w:t xml:space="preserve">It is observed that industry reports are often used to over-project the issuer and the industry it operates it, with claims around growth of the industry, standing of issuer amongst its peers. These reports are often commissioned by the issuer and there are apparent conflicts of interest. There is therefore a need for LMs to satisfy themselves of the veracity and accuracy of the data given in industry reports. </w:t>
      </w:r>
    </w:p>
    <w:p w:rsidR="008E4B65" w:rsidRPr="001034E7" w:rsidRDefault="008E4B65" w:rsidP="00B4197D">
      <w:pPr>
        <w:pStyle w:val="ListParagraph"/>
        <w:ind w:left="786"/>
        <w:rPr>
          <w:rFonts w:ascii="Garamond" w:hAnsi="Garamond" w:cs="Arial"/>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i/>
          <w:iCs/>
          <w:sz w:val="24"/>
          <w:szCs w:val="24"/>
        </w:rPr>
      </w:pPr>
      <w:r w:rsidRPr="001034E7">
        <w:rPr>
          <w:rFonts w:ascii="Garamond" w:hAnsi="Garamond" w:cs="Arial"/>
          <w:i/>
          <w:iCs/>
          <w:sz w:val="24"/>
          <w:szCs w:val="24"/>
        </w:rPr>
        <w:t xml:space="preserve">Sustainability disclosures in IPO documents:  </w:t>
      </w:r>
      <w:r w:rsidRPr="001034E7">
        <w:rPr>
          <w:rFonts w:ascii="Garamond" w:hAnsi="Garamond" w:cs="Arial"/>
          <w:sz w:val="24"/>
          <w:szCs w:val="24"/>
        </w:rPr>
        <w:t xml:space="preserve">We have observed that in certain cases, companies have made claims regarding their focus on sustainability, while having been subject to penal action by pollution control boards. Merchant bankers should ensure that sustainability related claims are verified and backed by data. </w:t>
      </w:r>
    </w:p>
    <w:p w:rsidR="008E4B65" w:rsidRPr="001034E7" w:rsidRDefault="008E4B65" w:rsidP="00B4197D">
      <w:pPr>
        <w:pStyle w:val="ListParagraph"/>
        <w:ind w:left="786"/>
        <w:rPr>
          <w:rFonts w:ascii="Garamond" w:hAnsi="Garamond" w:cs="Arial"/>
          <w:i/>
          <w:iCs/>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i/>
          <w:iCs/>
          <w:sz w:val="24"/>
          <w:szCs w:val="24"/>
        </w:rPr>
      </w:pPr>
      <w:r w:rsidRPr="001034E7">
        <w:rPr>
          <w:rFonts w:ascii="Garamond" w:hAnsi="Garamond" w:cs="Arial"/>
          <w:i/>
          <w:iCs/>
          <w:sz w:val="24"/>
          <w:szCs w:val="24"/>
        </w:rPr>
        <w:t xml:space="preserve">Funding Working capital as objects of the offer:  </w:t>
      </w:r>
      <w:r w:rsidRPr="001034E7">
        <w:rPr>
          <w:rFonts w:ascii="Garamond" w:hAnsi="Garamond" w:cs="Arial"/>
          <w:sz w:val="24"/>
          <w:szCs w:val="24"/>
        </w:rPr>
        <w:t xml:space="preserve">It is often observed that in cases where funding working capital is one of the objects of the offer, the funding requirements are justified with projections which are not connected with the current fundamentals. I guess there is a need for greater scrutiny by LMs on this item. </w:t>
      </w:r>
    </w:p>
    <w:p w:rsidR="008E4B65" w:rsidRPr="001034E7" w:rsidRDefault="008E4B65" w:rsidP="00B4197D">
      <w:pPr>
        <w:pStyle w:val="ListParagraph"/>
        <w:ind w:left="786"/>
        <w:rPr>
          <w:rFonts w:ascii="Garamond" w:hAnsi="Garamond" w:cs="Arial"/>
          <w:i/>
          <w:iCs/>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i/>
          <w:iCs/>
          <w:sz w:val="24"/>
          <w:szCs w:val="24"/>
        </w:rPr>
      </w:pPr>
      <w:r w:rsidRPr="001034E7">
        <w:rPr>
          <w:rFonts w:ascii="Garamond" w:hAnsi="Garamond" w:cs="Arial"/>
          <w:i/>
          <w:iCs/>
          <w:sz w:val="24"/>
          <w:szCs w:val="24"/>
        </w:rPr>
        <w:t xml:space="preserve">Information asymmetry: </w:t>
      </w:r>
      <w:r w:rsidRPr="001034E7">
        <w:rPr>
          <w:rFonts w:ascii="Garamond" w:hAnsi="Garamond" w:cs="Arial"/>
          <w:sz w:val="24"/>
          <w:szCs w:val="24"/>
        </w:rPr>
        <w:t>Merchant bankers should ensure that during roadshows or interactions with institutional investors, the information shared does not go beyond what is disclosed in the DRHP, so as to ensure that there is no information asymmetry in the disclosures made to institutional and retail investors.</w:t>
      </w:r>
    </w:p>
    <w:p w:rsidR="008E4B65" w:rsidRPr="001034E7" w:rsidRDefault="008E4B65" w:rsidP="00B4197D">
      <w:pPr>
        <w:pStyle w:val="ListParagraph"/>
        <w:rPr>
          <w:rFonts w:ascii="Garamond" w:hAnsi="Garamond" w:cs="Arial"/>
          <w:sz w:val="24"/>
          <w:szCs w:val="24"/>
        </w:rPr>
      </w:pPr>
    </w:p>
    <w:p w:rsidR="008E4B65" w:rsidRPr="001034E7" w:rsidRDefault="008E4B65" w:rsidP="00B4197D">
      <w:pPr>
        <w:pStyle w:val="ListParagraph"/>
        <w:numPr>
          <w:ilvl w:val="0"/>
          <w:numId w:val="25"/>
        </w:numPr>
        <w:spacing w:after="160"/>
        <w:ind w:left="786"/>
        <w:jc w:val="both"/>
        <w:rPr>
          <w:rFonts w:ascii="Garamond" w:hAnsi="Garamond" w:cs="Arial"/>
          <w:i/>
          <w:iCs/>
          <w:sz w:val="24"/>
          <w:szCs w:val="24"/>
        </w:rPr>
      </w:pPr>
      <w:r w:rsidRPr="001034E7">
        <w:rPr>
          <w:rFonts w:ascii="Garamond" w:hAnsi="Garamond" w:cs="Arial"/>
          <w:sz w:val="24"/>
          <w:szCs w:val="24"/>
        </w:rPr>
        <w:t>Finally, another general suggestion is that merchant bankers can take cues from SEBI’s observations on various offer documents and take care of those comments in their subsequent filing of DRHPs, so as to avoid making similar errors / omissions.</w:t>
      </w:r>
    </w:p>
    <w:p w:rsidR="008E4B65" w:rsidRPr="001034E7" w:rsidRDefault="008E4B65" w:rsidP="00B4197D">
      <w:pPr>
        <w:pStyle w:val="ListParagraph"/>
        <w:ind w:left="360"/>
        <w:jc w:val="both"/>
        <w:rPr>
          <w:rFonts w:ascii="Garamond" w:hAnsi="Garamond" w:cs="Arial"/>
          <w:sz w:val="24"/>
          <w:szCs w:val="24"/>
        </w:rPr>
      </w:pPr>
    </w:p>
    <w:p w:rsidR="008E4B65" w:rsidRPr="00D562A2" w:rsidRDefault="008E4B65" w:rsidP="00B4197D">
      <w:pPr>
        <w:pStyle w:val="ListParagraph"/>
        <w:ind w:left="0"/>
        <w:jc w:val="both"/>
        <w:rPr>
          <w:rFonts w:ascii="Garamond" w:hAnsi="Garamond" w:cs="Arial"/>
          <w:b/>
          <w:bCs/>
          <w:sz w:val="24"/>
          <w:szCs w:val="24"/>
        </w:rPr>
      </w:pPr>
      <w:r w:rsidRPr="00D562A2">
        <w:rPr>
          <w:rFonts w:ascii="Garamond" w:hAnsi="Garamond" w:cs="Arial"/>
          <w:b/>
          <w:bCs/>
          <w:sz w:val="24"/>
          <w:szCs w:val="24"/>
        </w:rPr>
        <w:t>Concluding remarks</w:t>
      </w:r>
    </w:p>
    <w:p w:rsidR="008E4B65" w:rsidRPr="001034E7" w:rsidRDefault="008E4B65" w:rsidP="0059680B">
      <w:pPr>
        <w:pStyle w:val="ListParagraph"/>
        <w:numPr>
          <w:ilvl w:val="0"/>
          <w:numId w:val="20"/>
        </w:numPr>
        <w:spacing w:after="0" w:line="240" w:lineRule="auto"/>
        <w:jc w:val="both"/>
        <w:rPr>
          <w:rFonts w:ascii="Garamond" w:hAnsi="Garamond" w:cs="Arial"/>
          <w:sz w:val="24"/>
          <w:szCs w:val="24"/>
        </w:rPr>
      </w:pPr>
      <w:r w:rsidRPr="001034E7">
        <w:rPr>
          <w:rFonts w:ascii="Garamond" w:hAnsi="Garamond" w:cs="Arial"/>
          <w:iCs/>
          <w:sz w:val="24"/>
          <w:szCs w:val="24"/>
        </w:rPr>
        <w:t xml:space="preserve">To conclude, improving ease of raising of funds is a continuous agenda which has to evolve with the changing needs of the market. Our approach has been to balance development to facilitate capital formation with investor protection. In this process, we actively consult all stakeholders and are positively inclined to new ideas. At the same time, we have avoided race to bottom and always upheld higher standards of investor protection which are not negotiable. </w:t>
      </w:r>
    </w:p>
    <w:p w:rsidR="008E4B65" w:rsidRPr="001034E7" w:rsidRDefault="008E4B65" w:rsidP="0059680B">
      <w:pPr>
        <w:pStyle w:val="ListParagraph"/>
        <w:spacing w:after="0" w:line="240" w:lineRule="auto"/>
        <w:ind w:left="360"/>
        <w:jc w:val="both"/>
        <w:rPr>
          <w:rFonts w:ascii="Garamond" w:hAnsi="Garamond" w:cs="Arial"/>
          <w:sz w:val="24"/>
          <w:szCs w:val="24"/>
        </w:rPr>
      </w:pPr>
    </w:p>
    <w:p w:rsidR="008E4B65" w:rsidRPr="001034E7" w:rsidRDefault="008E4B65" w:rsidP="0059680B">
      <w:pPr>
        <w:pStyle w:val="ListParagraph"/>
        <w:numPr>
          <w:ilvl w:val="0"/>
          <w:numId w:val="20"/>
        </w:numPr>
        <w:spacing w:after="0" w:line="240" w:lineRule="auto"/>
        <w:jc w:val="both"/>
        <w:rPr>
          <w:rFonts w:ascii="Garamond" w:hAnsi="Garamond" w:cs="Arial"/>
          <w:sz w:val="24"/>
          <w:szCs w:val="24"/>
        </w:rPr>
      </w:pPr>
      <w:r w:rsidRPr="001034E7">
        <w:rPr>
          <w:rFonts w:ascii="Garamond" w:hAnsi="Garamond" w:cs="Arial"/>
          <w:iCs/>
          <w:sz w:val="24"/>
          <w:szCs w:val="24"/>
        </w:rPr>
        <w:t xml:space="preserve">As a regulator, in my view, we should not come in the way of new and evolving products and business models, but at the same time it is our duty to manage the risks that such products bring about and preserve investor protection. </w:t>
      </w:r>
    </w:p>
    <w:p w:rsidR="008E4B65" w:rsidRPr="001034E7" w:rsidRDefault="008E4B65" w:rsidP="0059680B">
      <w:pPr>
        <w:pStyle w:val="ListParagraph"/>
        <w:spacing w:after="0" w:line="240" w:lineRule="auto"/>
        <w:rPr>
          <w:rFonts w:ascii="Garamond" w:hAnsi="Garamond" w:cs="Arial"/>
          <w:iCs/>
          <w:sz w:val="24"/>
          <w:szCs w:val="24"/>
        </w:rPr>
      </w:pPr>
    </w:p>
    <w:p w:rsidR="008E4B65" w:rsidRPr="001034E7" w:rsidRDefault="008E4B65" w:rsidP="0059680B">
      <w:pPr>
        <w:pStyle w:val="ListParagraph"/>
        <w:numPr>
          <w:ilvl w:val="0"/>
          <w:numId w:val="20"/>
        </w:numPr>
        <w:spacing w:after="0" w:line="240" w:lineRule="auto"/>
        <w:jc w:val="both"/>
        <w:rPr>
          <w:rFonts w:ascii="Garamond" w:hAnsi="Garamond" w:cs="Arial"/>
          <w:sz w:val="24"/>
          <w:szCs w:val="24"/>
        </w:rPr>
      </w:pPr>
      <w:r w:rsidRPr="001034E7">
        <w:rPr>
          <w:rFonts w:ascii="Garamond" w:hAnsi="Garamond" w:cs="Arial"/>
          <w:iCs/>
          <w:sz w:val="24"/>
          <w:szCs w:val="24"/>
        </w:rPr>
        <w:t xml:space="preserve">AIBI is an important stakeholder in the development of our Primary market. I wish AIBI all success in its endeavors. </w:t>
      </w:r>
    </w:p>
    <w:p w:rsidR="008E4B65" w:rsidRPr="001034E7" w:rsidRDefault="008E4B65" w:rsidP="00B4197D">
      <w:pPr>
        <w:pStyle w:val="ListParagraph"/>
        <w:ind w:left="360"/>
        <w:jc w:val="both"/>
        <w:rPr>
          <w:rFonts w:ascii="Garamond" w:hAnsi="Garamond" w:cs="Arial"/>
          <w:iCs/>
          <w:sz w:val="24"/>
          <w:szCs w:val="24"/>
        </w:rPr>
      </w:pPr>
    </w:p>
    <w:p w:rsidR="008E4B65" w:rsidRPr="001034E7" w:rsidRDefault="008E4B65" w:rsidP="00B4197D">
      <w:pPr>
        <w:pStyle w:val="ListParagraph"/>
        <w:ind w:left="360"/>
        <w:jc w:val="both"/>
        <w:rPr>
          <w:rFonts w:ascii="Garamond" w:hAnsi="Garamond" w:cs="Arial"/>
          <w:sz w:val="24"/>
          <w:szCs w:val="24"/>
        </w:rPr>
      </w:pPr>
      <w:r w:rsidRPr="001034E7">
        <w:rPr>
          <w:rFonts w:ascii="Garamond" w:hAnsi="Garamond" w:cs="Arial"/>
          <w:iCs/>
          <w:sz w:val="24"/>
          <w:szCs w:val="24"/>
        </w:rPr>
        <w:t>Thank You.</w:t>
      </w:r>
    </w:p>
    <w:p w:rsidR="006A6CB3" w:rsidRPr="00966FBB" w:rsidRDefault="006A6CB3" w:rsidP="00A9179C">
      <w:pPr>
        <w:jc w:val="center"/>
        <w:outlineLvl w:val="0"/>
        <w:rPr>
          <w:rFonts w:ascii="Garamond" w:hAnsi="Garamond" w:cs="Helvetica"/>
          <w:b/>
          <w:color w:val="1F4E79"/>
          <w:sz w:val="28"/>
          <w:szCs w:val="28"/>
        </w:rPr>
      </w:pPr>
      <w:r w:rsidRPr="00966FBB">
        <w:rPr>
          <w:rFonts w:ascii="Garamond" w:hAnsi="Garamond" w:cs="Helvetica"/>
          <w:b/>
          <w:color w:val="1F4E79"/>
          <w:sz w:val="28"/>
          <w:szCs w:val="28"/>
        </w:rPr>
        <w:lastRenderedPageBreak/>
        <w:t>CAPITAL MARKET REVIEW</w:t>
      </w:r>
    </w:p>
    <w:p w:rsidR="006A6CB3" w:rsidRPr="00966FBB" w:rsidRDefault="006A6CB3" w:rsidP="006A6CB3">
      <w:pPr>
        <w:jc w:val="center"/>
        <w:outlineLvl w:val="0"/>
        <w:rPr>
          <w:rFonts w:ascii="Garamond" w:hAnsi="Garamond" w:cs="Helvetica"/>
          <w:b/>
          <w:color w:val="1F4E79"/>
        </w:rPr>
      </w:pPr>
    </w:p>
    <w:p w:rsidR="006A6CB3" w:rsidRPr="006A6CB3" w:rsidRDefault="006A6CB3" w:rsidP="006A6CB3">
      <w:pPr>
        <w:widowControl w:val="0"/>
        <w:ind w:left="-284"/>
        <w:jc w:val="both"/>
        <w:rPr>
          <w:rFonts w:ascii="Garamond" w:hAnsi="Garamond"/>
          <w:b/>
          <w:color w:val="0F0684"/>
        </w:rPr>
      </w:pP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 xml:space="preserve">Trends in Resource Mobilisation by Corporates  </w:t>
      </w:r>
    </w:p>
    <w:p w:rsidR="006A6CB3" w:rsidRPr="006A6CB3" w:rsidRDefault="006A6CB3" w:rsidP="006A6CB3">
      <w:pPr>
        <w:widowControl w:val="0"/>
        <w:spacing w:line="276" w:lineRule="auto"/>
        <w:ind w:left="454"/>
        <w:rPr>
          <w:rFonts w:ascii="Garamond" w:eastAsia="Palatino Linotype" w:hAnsi="Garamond" w:cs="Palatino Linotype"/>
          <w:b/>
        </w:rPr>
      </w:pPr>
    </w:p>
    <w:p w:rsidR="00E545F9" w:rsidRDefault="00E545F9" w:rsidP="00E545F9">
      <w:pPr>
        <w:widowControl w:val="0"/>
        <w:numPr>
          <w:ilvl w:val="0"/>
          <w:numId w:val="29"/>
        </w:numPr>
        <w:spacing w:line="276" w:lineRule="auto"/>
        <w:jc w:val="both"/>
        <w:rPr>
          <w:rFonts w:ascii="Garamond" w:eastAsia="Palatino Linotype" w:hAnsi="Garamond" w:cs="Palatino Linotype"/>
          <w:lang w:val="en-US"/>
        </w:rPr>
      </w:pPr>
      <w:r w:rsidRPr="0030149C">
        <w:rPr>
          <w:rFonts w:ascii="Garamond" w:eastAsia="Palatino Linotype" w:hAnsi="Garamond" w:cs="Palatino Linotype"/>
          <w:lang w:val="en-US"/>
        </w:rPr>
        <w:t>Resource mobilised through equity issuance</w:t>
      </w:r>
      <w:r>
        <w:rPr>
          <w:rFonts w:ascii="Garamond" w:eastAsia="Palatino Linotype" w:hAnsi="Garamond" w:cs="Palatino Linotype"/>
          <w:lang w:val="en-US"/>
        </w:rPr>
        <w:t>s</w:t>
      </w:r>
      <w:r w:rsidRPr="0030149C">
        <w:rPr>
          <w:rFonts w:ascii="Garamond" w:eastAsia="Palatino Linotype" w:hAnsi="Garamond" w:cs="Palatino Linotype"/>
          <w:lang w:val="en-US"/>
        </w:rPr>
        <w:t xml:space="preserve"> stood at </w:t>
      </w:r>
      <w:r w:rsidRPr="0030149C">
        <w:rPr>
          <w:rFonts w:ascii="Times New Roman" w:eastAsia="Palatino Linotype" w:hAnsi="Times New Roman"/>
          <w:lang w:val="en-US"/>
        </w:rPr>
        <w:t>₹</w:t>
      </w:r>
      <w:r>
        <w:rPr>
          <w:rFonts w:ascii="Garamond" w:eastAsia="Palatino Linotype" w:hAnsi="Garamond" w:cs="Palatino Linotype"/>
          <w:lang w:val="en-US"/>
        </w:rPr>
        <w:t>21,620</w:t>
      </w:r>
      <w:r w:rsidRPr="0030149C">
        <w:rPr>
          <w:rFonts w:ascii="Garamond" w:eastAsia="Palatino Linotype" w:hAnsi="Garamond" w:cs="Palatino Linotype"/>
          <w:lang w:val="en-US"/>
        </w:rPr>
        <w:t xml:space="preserve"> crore </w:t>
      </w:r>
      <w:r w:rsidR="00C26372">
        <w:rPr>
          <w:rFonts w:ascii="Garamond" w:eastAsia="Palatino Linotype" w:hAnsi="Garamond" w:cs="Palatino Linotype"/>
          <w:lang w:val="en-US"/>
        </w:rPr>
        <w:t xml:space="preserve">in December 2021 </w:t>
      </w:r>
      <w:r w:rsidRPr="0030149C">
        <w:rPr>
          <w:rFonts w:ascii="Garamond" w:eastAsia="Palatino Linotype" w:hAnsi="Garamond" w:cs="Palatino Linotype"/>
          <w:lang w:val="en-US"/>
        </w:rPr>
        <w:t xml:space="preserve">as compared to </w:t>
      </w:r>
      <w:r w:rsidRPr="0030149C">
        <w:rPr>
          <w:rFonts w:ascii="Times New Roman" w:eastAsia="Palatino Linotype" w:hAnsi="Times New Roman"/>
          <w:lang w:val="en-US"/>
        </w:rPr>
        <w:t>₹</w:t>
      </w:r>
      <w:r w:rsidRPr="0030149C">
        <w:rPr>
          <w:rFonts w:ascii="Garamond" w:eastAsia="Palatino Linotype" w:hAnsi="Garamond" w:cs="Palatino Linotype"/>
          <w:lang w:val="en-US"/>
        </w:rPr>
        <w:t>63,439</w:t>
      </w:r>
      <w:r>
        <w:rPr>
          <w:rFonts w:ascii="Garamond" w:eastAsia="Palatino Linotype" w:hAnsi="Garamond" w:cs="Palatino Linotype"/>
          <w:lang w:val="en-US"/>
        </w:rPr>
        <w:t xml:space="preserve"> </w:t>
      </w:r>
      <w:r w:rsidRPr="0030149C">
        <w:rPr>
          <w:rFonts w:ascii="Garamond" w:eastAsia="Palatino Linotype" w:hAnsi="Garamond" w:cs="Palatino Linotype"/>
          <w:lang w:val="en-US"/>
        </w:rPr>
        <w:t>crore raised in November 2021</w:t>
      </w:r>
      <w:r>
        <w:rPr>
          <w:rFonts w:ascii="Garamond" w:eastAsia="Palatino Linotype" w:hAnsi="Garamond" w:cs="Palatino Linotype"/>
          <w:lang w:val="en-US"/>
        </w:rPr>
        <w:t xml:space="preserve">. </w:t>
      </w:r>
    </w:p>
    <w:p w:rsidR="00E545F9" w:rsidRPr="005B28F5" w:rsidRDefault="00E545F9" w:rsidP="00E545F9">
      <w:pPr>
        <w:widowControl w:val="0"/>
        <w:numPr>
          <w:ilvl w:val="0"/>
          <w:numId w:val="29"/>
        </w:numPr>
        <w:spacing w:line="276" w:lineRule="auto"/>
        <w:jc w:val="both"/>
        <w:rPr>
          <w:rFonts w:ascii="Garamond" w:eastAsia="Palatino Linotype" w:hAnsi="Garamond" w:cs="Palatino Linotype"/>
          <w:lang w:val="en-US"/>
        </w:rPr>
      </w:pPr>
      <w:r>
        <w:rPr>
          <w:rFonts w:ascii="Garamond" w:eastAsia="Palatino Linotype" w:hAnsi="Garamond" w:cs="Palatino Linotype"/>
          <w:lang w:val="en-US"/>
        </w:rPr>
        <w:t xml:space="preserve">Overall, </w:t>
      </w:r>
      <w:r w:rsidRPr="005B28F5">
        <w:rPr>
          <w:rFonts w:ascii="Garamond" w:eastAsia="Palatino Linotype" w:hAnsi="Garamond" w:cs="Palatino Linotype"/>
        </w:rPr>
        <w:t xml:space="preserve">20 IPOs listed during the month garnering  </w:t>
      </w:r>
      <w:r w:rsidRPr="005B28F5">
        <w:rPr>
          <w:rFonts w:ascii="Times New Roman" w:eastAsia="Palatino Linotype" w:hAnsi="Times New Roman"/>
        </w:rPr>
        <w:t>₹</w:t>
      </w:r>
      <w:r w:rsidRPr="005B28F5">
        <w:rPr>
          <w:rFonts w:ascii="Garamond" w:eastAsia="Palatino Linotype" w:hAnsi="Garamond" w:cs="Palatino Linotype"/>
        </w:rPr>
        <w:t xml:space="preserve"> 15,681</w:t>
      </w:r>
      <w:r>
        <w:rPr>
          <w:rFonts w:ascii="Garamond" w:eastAsia="Palatino Linotype" w:hAnsi="Garamond" w:cs="Palatino Linotype"/>
        </w:rPr>
        <w:t xml:space="preserve"> crore, comprising of</w:t>
      </w:r>
      <w:r w:rsidRPr="005B28F5">
        <w:rPr>
          <w:rFonts w:ascii="Garamond" w:eastAsia="Palatino Linotype" w:hAnsi="Garamond" w:cs="Palatino Linotype"/>
        </w:rPr>
        <w:t xml:space="preserve"> </w:t>
      </w:r>
      <w:r w:rsidRPr="005B28F5">
        <w:rPr>
          <w:rFonts w:ascii="Times New Roman" w:eastAsia="Palatino Linotype" w:hAnsi="Times New Roman"/>
        </w:rPr>
        <w:t>₹</w:t>
      </w:r>
      <w:r w:rsidRPr="005B28F5">
        <w:rPr>
          <w:rFonts w:ascii="Garamond" w:eastAsia="Palatino Linotype" w:hAnsi="Garamond" w:cs="Palatino Linotype"/>
        </w:rPr>
        <w:t xml:space="preserve"> 15,553 crore raised through 12 main board listings and </w:t>
      </w:r>
      <w:r w:rsidRPr="005B28F5">
        <w:rPr>
          <w:rFonts w:ascii="Times New Roman" w:eastAsia="Palatino Linotype" w:hAnsi="Times New Roman"/>
        </w:rPr>
        <w:t>₹</w:t>
      </w:r>
      <w:r w:rsidRPr="005B28F5">
        <w:rPr>
          <w:rFonts w:ascii="Garamond" w:eastAsia="Palatino Linotype" w:hAnsi="Garamond" w:cs="Palatino Linotype"/>
        </w:rPr>
        <w:t xml:space="preserve"> 12</w:t>
      </w:r>
      <w:r w:rsidR="00F13BB5">
        <w:rPr>
          <w:rFonts w:ascii="Garamond" w:eastAsia="Palatino Linotype" w:hAnsi="Garamond" w:cs="Palatino Linotype"/>
        </w:rPr>
        <w:t>8</w:t>
      </w:r>
      <w:r w:rsidRPr="005B28F5">
        <w:rPr>
          <w:rFonts w:ascii="Garamond" w:eastAsia="Palatino Linotype" w:hAnsi="Garamond" w:cs="Palatino Linotype"/>
        </w:rPr>
        <w:t xml:space="preserve"> crore by eight SME/startup listings (Table 1)</w:t>
      </w:r>
      <w:r w:rsidR="00BE1CFC">
        <w:rPr>
          <w:rFonts w:ascii="Garamond" w:eastAsia="Palatino Linotype" w:hAnsi="Garamond" w:cs="Palatino Linotype"/>
        </w:rPr>
        <w:t xml:space="preserve">. This was the highest in terms of number of listed IPOs for a month in the financial year so far. </w:t>
      </w:r>
      <w:r w:rsidRPr="005B28F5">
        <w:rPr>
          <w:rFonts w:ascii="Garamond" w:eastAsia="Palatino Linotype" w:hAnsi="Garamond" w:cs="Palatino Linotype"/>
        </w:rPr>
        <w:t xml:space="preserve"> </w:t>
      </w:r>
    </w:p>
    <w:p w:rsidR="00E545F9" w:rsidRPr="0030149C" w:rsidRDefault="00F13BB5" w:rsidP="00E545F9">
      <w:pPr>
        <w:widowControl w:val="0"/>
        <w:numPr>
          <w:ilvl w:val="0"/>
          <w:numId w:val="29"/>
        </w:numPr>
        <w:spacing w:line="276" w:lineRule="auto"/>
        <w:jc w:val="both"/>
        <w:rPr>
          <w:rFonts w:ascii="Garamond" w:eastAsia="Palatino Linotype" w:hAnsi="Garamond" w:cs="Palatino Linotype"/>
          <w:lang w:val="en-US"/>
        </w:rPr>
      </w:pPr>
      <w:r>
        <w:rPr>
          <w:rFonts w:ascii="Garamond" w:eastAsia="Palatino Linotype" w:hAnsi="Garamond" w:cs="Palatino Linotype"/>
        </w:rPr>
        <w:t>Amount raised</w:t>
      </w:r>
      <w:r w:rsidR="00E545F9" w:rsidRPr="0030149C">
        <w:rPr>
          <w:rFonts w:ascii="Garamond" w:eastAsia="Palatino Linotype" w:hAnsi="Garamond" w:cs="Palatino Linotype"/>
        </w:rPr>
        <w:t xml:space="preserve"> through rights issues</w:t>
      </w:r>
      <w:r w:rsidR="00E545F9">
        <w:rPr>
          <w:rFonts w:ascii="Garamond" w:eastAsia="Palatino Linotype" w:hAnsi="Garamond" w:cs="Palatino Linotype"/>
        </w:rPr>
        <w:t xml:space="preserve"> </w:t>
      </w:r>
      <w:r>
        <w:rPr>
          <w:rFonts w:ascii="Garamond" w:eastAsia="Palatino Linotype" w:hAnsi="Garamond" w:cs="Palatino Linotype"/>
        </w:rPr>
        <w:t>in December 2021 was</w:t>
      </w:r>
      <w:r w:rsidR="00E545F9">
        <w:rPr>
          <w:rFonts w:ascii="Garamond" w:eastAsia="Palatino Linotype" w:hAnsi="Garamond" w:cs="Palatino Linotype"/>
        </w:rPr>
        <w:t xml:space="preserve"> </w:t>
      </w:r>
      <w:r w:rsidR="00E545F9" w:rsidRPr="0030149C">
        <w:rPr>
          <w:rFonts w:ascii="Times New Roman" w:eastAsia="Palatino Linotype" w:hAnsi="Times New Roman"/>
          <w:lang w:val="en-US"/>
        </w:rPr>
        <w:t>₹</w:t>
      </w:r>
      <w:r w:rsidR="00E545F9">
        <w:rPr>
          <w:rFonts w:ascii="Garamond" w:eastAsia="Palatino Linotype" w:hAnsi="Garamond" w:cs="Palatino Linotype"/>
          <w:lang w:val="en-US"/>
        </w:rPr>
        <w:t xml:space="preserve">2,577 crore compared to </w:t>
      </w:r>
      <w:r w:rsidR="00E545F9" w:rsidRPr="0030149C">
        <w:rPr>
          <w:rFonts w:ascii="Times New Roman" w:eastAsia="Palatino Linotype" w:hAnsi="Times New Roman"/>
        </w:rPr>
        <w:t>₹</w:t>
      </w:r>
      <w:r w:rsidR="00E545F9" w:rsidRPr="0030149C">
        <w:rPr>
          <w:rFonts w:ascii="Garamond" w:eastAsia="Palatino Linotype" w:hAnsi="Garamond" w:cs="Palatino Linotype"/>
        </w:rPr>
        <w:t xml:space="preserve"> 21,055 crore </w:t>
      </w:r>
      <w:r w:rsidR="00E545F9">
        <w:rPr>
          <w:rFonts w:ascii="Garamond" w:eastAsia="Palatino Linotype" w:hAnsi="Garamond" w:cs="Palatino Linotype"/>
        </w:rPr>
        <w:t>in November 2021.</w:t>
      </w:r>
      <w:r w:rsidR="00E545F9" w:rsidRPr="0030149C">
        <w:rPr>
          <w:rFonts w:ascii="Garamond" w:eastAsia="Palatino Linotype" w:hAnsi="Garamond" w:cs="Palatino Linotype"/>
        </w:rPr>
        <w:t xml:space="preserve"> Debt-fund raising through public issuance</w:t>
      </w:r>
      <w:r>
        <w:rPr>
          <w:rFonts w:ascii="Garamond" w:eastAsia="Palatino Linotype" w:hAnsi="Garamond" w:cs="Palatino Linotype"/>
        </w:rPr>
        <w:t>s</w:t>
      </w:r>
      <w:r w:rsidR="00E545F9" w:rsidRPr="0030149C">
        <w:rPr>
          <w:rFonts w:ascii="Garamond" w:eastAsia="Palatino Linotype" w:hAnsi="Garamond" w:cs="Palatino Linotype"/>
        </w:rPr>
        <w:t xml:space="preserve"> </w:t>
      </w:r>
      <w:r w:rsidR="00E545F9">
        <w:rPr>
          <w:rFonts w:ascii="Garamond" w:eastAsia="Palatino Linotype" w:hAnsi="Garamond" w:cs="Palatino Linotype"/>
        </w:rPr>
        <w:t xml:space="preserve">showed an uptick </w:t>
      </w:r>
      <w:r>
        <w:rPr>
          <w:rFonts w:ascii="Garamond" w:eastAsia="Palatino Linotype" w:hAnsi="Garamond" w:cs="Palatino Linotype"/>
        </w:rPr>
        <w:t xml:space="preserve">as </w:t>
      </w:r>
      <w:r w:rsidR="00E545F9" w:rsidRPr="0030149C">
        <w:rPr>
          <w:rFonts w:ascii="Garamond" w:eastAsia="Palatino Linotype" w:hAnsi="Garamond" w:cs="Palatino Linotype"/>
        </w:rPr>
        <w:t xml:space="preserve">one public issue of corporate bond closed in </w:t>
      </w:r>
      <w:r w:rsidR="00E545F9">
        <w:rPr>
          <w:rFonts w:ascii="Garamond" w:eastAsia="Palatino Linotype" w:hAnsi="Garamond" w:cs="Palatino Linotype"/>
        </w:rPr>
        <w:t xml:space="preserve">December </w:t>
      </w:r>
      <w:r w:rsidR="00E545F9" w:rsidRPr="0030149C">
        <w:rPr>
          <w:rFonts w:ascii="Garamond" w:eastAsia="Palatino Linotype" w:hAnsi="Garamond" w:cs="Palatino Linotype"/>
        </w:rPr>
        <w:t xml:space="preserve">2021 raising </w:t>
      </w:r>
      <w:r w:rsidR="00E545F9" w:rsidRPr="0030149C">
        <w:rPr>
          <w:rFonts w:ascii="Times New Roman" w:eastAsia="Palatino Linotype" w:hAnsi="Times New Roman"/>
        </w:rPr>
        <w:t>₹</w:t>
      </w:r>
      <w:r w:rsidR="00E545F9">
        <w:rPr>
          <w:rFonts w:ascii="Garamond" w:eastAsia="Palatino Linotype" w:hAnsi="Garamond" w:cs="Palatino Linotype"/>
        </w:rPr>
        <w:t xml:space="preserve"> 456 </w:t>
      </w:r>
      <w:r w:rsidR="00E545F9" w:rsidRPr="0030149C">
        <w:rPr>
          <w:rFonts w:ascii="Garamond" w:eastAsia="Palatino Linotype" w:hAnsi="Garamond" w:cs="Palatino Linotype"/>
        </w:rPr>
        <w:t xml:space="preserve">crore as compared to </w:t>
      </w:r>
      <w:r w:rsidR="00E545F9" w:rsidRPr="0030149C">
        <w:rPr>
          <w:rFonts w:ascii="Times New Roman" w:eastAsia="Palatino Linotype" w:hAnsi="Times New Roman"/>
        </w:rPr>
        <w:t>₹</w:t>
      </w:r>
      <w:r w:rsidR="00E545F9">
        <w:rPr>
          <w:rFonts w:ascii="Garamond" w:eastAsia="Palatino Linotype" w:hAnsi="Garamond" w:cs="Palatino Linotype"/>
        </w:rPr>
        <w:t>50</w:t>
      </w:r>
      <w:r w:rsidR="00E545F9" w:rsidRPr="0030149C">
        <w:rPr>
          <w:rFonts w:ascii="Garamond" w:eastAsia="Palatino Linotype" w:hAnsi="Garamond" w:cs="Palatino Linotype"/>
        </w:rPr>
        <w:t xml:space="preserve"> </w:t>
      </w:r>
      <w:r w:rsidR="00E545F9" w:rsidRPr="0030149C">
        <w:rPr>
          <w:rFonts w:ascii="Garamond" w:eastAsia="Palatino Linotype" w:hAnsi="Garamond" w:cs="Palatino Linotype"/>
          <w:lang w:val="en-US"/>
        </w:rPr>
        <w:t xml:space="preserve">crore </w:t>
      </w:r>
      <w:r w:rsidR="00E545F9">
        <w:rPr>
          <w:rFonts w:ascii="Garamond" w:eastAsia="Palatino Linotype" w:hAnsi="Garamond" w:cs="Palatino Linotype"/>
          <w:lang w:val="en-US"/>
        </w:rPr>
        <w:t>raised in November</w:t>
      </w:r>
      <w:r w:rsidR="00E545F9" w:rsidRPr="0030149C">
        <w:rPr>
          <w:rFonts w:ascii="Garamond" w:eastAsia="Palatino Linotype" w:hAnsi="Garamond" w:cs="Palatino Linotype"/>
          <w:lang w:val="en-US"/>
        </w:rPr>
        <w:t xml:space="preserve"> 2021.</w:t>
      </w:r>
    </w:p>
    <w:p w:rsidR="00E545F9" w:rsidRPr="0030149C" w:rsidRDefault="00F13BB5" w:rsidP="00E545F9">
      <w:pPr>
        <w:widowControl w:val="0"/>
        <w:numPr>
          <w:ilvl w:val="0"/>
          <w:numId w:val="29"/>
        </w:numPr>
        <w:spacing w:line="276" w:lineRule="auto"/>
        <w:jc w:val="both"/>
        <w:rPr>
          <w:rFonts w:ascii="Garamond" w:eastAsia="Palatino Linotype" w:hAnsi="Garamond" w:cs="Palatino Linotype"/>
          <w:lang w:val="en-US"/>
        </w:rPr>
      </w:pPr>
      <w:r>
        <w:rPr>
          <w:rFonts w:ascii="Garamond" w:eastAsia="Palatino Linotype" w:hAnsi="Garamond" w:cs="Palatino Linotype"/>
        </w:rPr>
        <w:t>In December 2021,</w:t>
      </w:r>
      <w:r w:rsidRPr="00F13BB5">
        <w:rPr>
          <w:rFonts w:ascii="Times New Roman" w:eastAsia="Palatino Linotype" w:hAnsi="Times New Roman"/>
        </w:rPr>
        <w:t xml:space="preserve"> </w:t>
      </w:r>
      <w:r w:rsidRPr="0030149C">
        <w:rPr>
          <w:rFonts w:ascii="Times New Roman" w:eastAsia="Palatino Linotype" w:hAnsi="Times New Roman"/>
        </w:rPr>
        <w:t>₹</w:t>
      </w:r>
      <w:r>
        <w:rPr>
          <w:rFonts w:ascii="Garamond" w:eastAsia="Palatino Linotype" w:hAnsi="Garamond" w:cs="Palatino Linotype"/>
        </w:rPr>
        <w:t xml:space="preserve"> 3,362</w:t>
      </w:r>
      <w:r w:rsidRPr="0030149C">
        <w:rPr>
          <w:rFonts w:ascii="Garamond" w:eastAsia="Palatino Linotype" w:hAnsi="Garamond" w:cs="Palatino Linotype"/>
        </w:rPr>
        <w:t xml:space="preserve"> crore</w:t>
      </w:r>
      <w:r>
        <w:rPr>
          <w:rFonts w:ascii="Garamond" w:eastAsia="Palatino Linotype" w:hAnsi="Garamond" w:cs="Palatino Linotype"/>
        </w:rPr>
        <w:t xml:space="preserve"> was  </w:t>
      </w:r>
      <w:r w:rsidR="00E545F9" w:rsidRPr="0030149C">
        <w:rPr>
          <w:rFonts w:ascii="Garamond" w:eastAsia="Palatino Linotype" w:hAnsi="Garamond" w:cs="Palatino Linotype"/>
        </w:rPr>
        <w:t>raised through preferential allotment and QIPs</w:t>
      </w:r>
      <w:r w:rsidR="00151BDF">
        <w:rPr>
          <w:rFonts w:ascii="Garamond" w:eastAsia="Palatino Linotype" w:hAnsi="Garamond" w:cs="Palatino Linotype"/>
        </w:rPr>
        <w:t xml:space="preserve"> as against </w:t>
      </w:r>
      <w:r w:rsidR="00E545F9" w:rsidRPr="0030149C">
        <w:rPr>
          <w:rFonts w:ascii="Garamond" w:eastAsia="Palatino Linotype" w:hAnsi="Garamond" w:cs="Palatino Linotype"/>
        </w:rPr>
        <w:t xml:space="preserve"> </w:t>
      </w:r>
      <w:r w:rsidR="00E545F9" w:rsidRPr="0030149C">
        <w:rPr>
          <w:rFonts w:ascii="Times New Roman" w:eastAsia="Palatino Linotype" w:hAnsi="Times New Roman"/>
        </w:rPr>
        <w:t>₹</w:t>
      </w:r>
      <w:r w:rsidR="00151BDF">
        <w:rPr>
          <w:rFonts w:ascii="Garamond" w:eastAsia="Palatino Linotype" w:hAnsi="Garamond" w:cs="Palatino Linotype"/>
        </w:rPr>
        <w:t>6,079</w:t>
      </w:r>
      <w:r w:rsidR="00E545F9" w:rsidRPr="0030149C">
        <w:rPr>
          <w:rFonts w:ascii="Garamond" w:eastAsia="Palatino Linotype" w:hAnsi="Garamond" w:cs="Palatino Linotype"/>
        </w:rPr>
        <w:t xml:space="preserve"> crore in </w:t>
      </w:r>
      <w:r w:rsidR="00E545F9">
        <w:rPr>
          <w:rFonts w:ascii="Garamond" w:eastAsia="Palatino Linotype" w:hAnsi="Garamond" w:cs="Palatino Linotype"/>
        </w:rPr>
        <w:t>November</w:t>
      </w:r>
      <w:r w:rsidR="00E545F9" w:rsidRPr="0030149C">
        <w:rPr>
          <w:rFonts w:ascii="Garamond" w:eastAsia="Palatino Linotype" w:hAnsi="Garamond" w:cs="Palatino Linotype"/>
        </w:rPr>
        <w:t xml:space="preserve"> 2021. </w:t>
      </w:r>
    </w:p>
    <w:p w:rsidR="00E545F9" w:rsidRPr="0030149C" w:rsidRDefault="00E545F9" w:rsidP="00E545F9">
      <w:pPr>
        <w:widowControl w:val="0"/>
        <w:numPr>
          <w:ilvl w:val="0"/>
          <w:numId w:val="29"/>
        </w:numPr>
        <w:spacing w:line="276" w:lineRule="auto"/>
        <w:jc w:val="both"/>
        <w:rPr>
          <w:rFonts w:ascii="Garamond" w:eastAsia="Palatino Linotype" w:hAnsi="Garamond" w:cs="Palatino Linotype"/>
          <w:lang w:val="en-US"/>
        </w:rPr>
      </w:pPr>
      <w:r w:rsidRPr="0030149C">
        <w:rPr>
          <w:rFonts w:ascii="Garamond" w:eastAsia="Palatino Linotype" w:hAnsi="Garamond" w:cs="Palatino Linotype"/>
        </w:rPr>
        <w:t xml:space="preserve">Private placement of corporate debt reported on exchanges stood at </w:t>
      </w:r>
      <w:r w:rsidRPr="0030149C">
        <w:rPr>
          <w:rFonts w:ascii="Times New Roman" w:eastAsia="Palatino Linotype" w:hAnsi="Times New Roman"/>
        </w:rPr>
        <w:t>₹</w:t>
      </w:r>
      <w:r w:rsidRPr="0030149C">
        <w:rPr>
          <w:rFonts w:ascii="Garamond" w:eastAsia="Palatino Linotype" w:hAnsi="Garamond" w:cs="Palatino Linotype"/>
        </w:rPr>
        <w:t xml:space="preserve"> </w:t>
      </w:r>
      <w:r>
        <w:rPr>
          <w:rFonts w:ascii="Garamond" w:eastAsia="Palatino Linotype" w:hAnsi="Garamond" w:cs="Palatino Linotype"/>
        </w:rPr>
        <w:t xml:space="preserve">73,145 </w:t>
      </w:r>
      <w:r w:rsidRPr="0030149C">
        <w:rPr>
          <w:rFonts w:ascii="Garamond" w:eastAsia="Palatino Linotype" w:hAnsi="Garamond" w:cs="Palatino Linotype"/>
        </w:rPr>
        <w:t xml:space="preserve">crore during </w:t>
      </w:r>
      <w:r>
        <w:rPr>
          <w:rFonts w:ascii="Garamond" w:eastAsia="Palatino Linotype" w:hAnsi="Garamond" w:cs="Palatino Linotype"/>
        </w:rPr>
        <w:t>December</w:t>
      </w:r>
      <w:r w:rsidRPr="0030149C">
        <w:rPr>
          <w:rFonts w:ascii="Garamond" w:eastAsia="Palatino Linotype" w:hAnsi="Garamond" w:cs="Palatino Linotype"/>
        </w:rPr>
        <w:t xml:space="preserve"> 2021, compared to </w:t>
      </w:r>
      <w:r w:rsidRPr="0030149C">
        <w:rPr>
          <w:rFonts w:ascii="Times New Roman" w:eastAsia="Palatino Linotype" w:hAnsi="Times New Roman"/>
        </w:rPr>
        <w:t>₹</w:t>
      </w:r>
      <w:r>
        <w:rPr>
          <w:rFonts w:ascii="Garamond" w:eastAsia="Palatino Linotype" w:hAnsi="Garamond" w:cs="Palatino Linotype"/>
        </w:rPr>
        <w:t xml:space="preserve"> 47,654</w:t>
      </w:r>
      <w:r w:rsidRPr="0030149C">
        <w:rPr>
          <w:rFonts w:ascii="Garamond" w:eastAsia="Palatino Linotype" w:hAnsi="Garamond" w:cs="Palatino Linotype"/>
        </w:rPr>
        <w:t xml:space="preserve"> crore in </w:t>
      </w:r>
      <w:r>
        <w:rPr>
          <w:rFonts w:ascii="Garamond" w:eastAsia="Palatino Linotype" w:hAnsi="Garamond" w:cs="Palatino Linotype"/>
        </w:rPr>
        <w:t>November</w:t>
      </w:r>
      <w:r w:rsidRPr="0030149C">
        <w:rPr>
          <w:rFonts w:ascii="Garamond" w:eastAsia="Palatino Linotype" w:hAnsi="Garamond" w:cs="Palatino Linotype"/>
        </w:rPr>
        <w:t xml:space="preserve"> 2021</w:t>
      </w:r>
      <w:r>
        <w:rPr>
          <w:rFonts w:ascii="Garamond" w:eastAsia="Palatino Linotype" w:hAnsi="Garamond" w:cs="Palatino Linotype"/>
        </w:rPr>
        <w:t>.</w:t>
      </w:r>
    </w:p>
    <w:p w:rsidR="00E545F9" w:rsidRPr="00A9179C" w:rsidRDefault="00E545F9" w:rsidP="00E545F9">
      <w:pPr>
        <w:widowControl w:val="0"/>
        <w:spacing w:line="276" w:lineRule="auto"/>
        <w:ind w:firstLine="454"/>
        <w:jc w:val="both"/>
        <w:rPr>
          <w:rFonts w:ascii="Garamond" w:eastAsia="Palatino Linotype" w:hAnsi="Garamond" w:cs="Palatino Linotype"/>
          <w:b/>
          <w:sz w:val="22"/>
          <w:szCs w:val="22"/>
        </w:rPr>
      </w:pPr>
      <w:r w:rsidRPr="00891713">
        <w:rPr>
          <w:rFonts w:ascii="Garamond" w:eastAsia="Palatino Linotype" w:hAnsi="Garamond" w:cs="Palatino Linotype"/>
          <w:b/>
        </w:rPr>
        <w:t xml:space="preserve">                        </w:t>
      </w:r>
      <w:r w:rsidRPr="00A9179C">
        <w:rPr>
          <w:rFonts w:ascii="Garamond" w:eastAsia="Palatino Linotype" w:hAnsi="Garamond" w:cs="Palatino Linotype"/>
          <w:b/>
          <w:sz w:val="22"/>
          <w:szCs w:val="22"/>
        </w:rPr>
        <w:t>Table 1: Fund Mobilisation by Corporates (</w:t>
      </w:r>
      <w:r w:rsidRPr="00A9179C">
        <w:rPr>
          <w:rFonts w:ascii="Times New Roman" w:eastAsia="Tahoma" w:hAnsi="Times New Roman"/>
          <w:b/>
          <w:sz w:val="22"/>
          <w:szCs w:val="22"/>
        </w:rPr>
        <w:t>₹</w:t>
      </w:r>
      <w:r w:rsidRPr="00A9179C">
        <w:rPr>
          <w:rFonts w:ascii="Garamond" w:eastAsia="Tahoma" w:hAnsi="Garamond"/>
          <w:b/>
          <w:sz w:val="22"/>
          <w:szCs w:val="22"/>
        </w:rPr>
        <w:t xml:space="preserve"> </w:t>
      </w:r>
      <w:r w:rsidRPr="00A9179C">
        <w:rPr>
          <w:rFonts w:ascii="Garamond" w:eastAsia="Palatino Linotype" w:hAnsi="Garamond" w:cs="Palatino Linotype"/>
          <w:b/>
          <w:sz w:val="22"/>
          <w:szCs w:val="22"/>
        </w:rPr>
        <w:t xml:space="preserve">crore) </w:t>
      </w:r>
    </w:p>
    <w:tbl>
      <w:tblPr>
        <w:tblW w:w="5465" w:type="dxa"/>
        <w:jc w:val="center"/>
        <w:tblLook w:val="04A0" w:firstRow="1" w:lastRow="0" w:firstColumn="1" w:lastColumn="0" w:noHBand="0" w:noVBand="1"/>
      </w:tblPr>
      <w:tblGrid>
        <w:gridCol w:w="3315"/>
        <w:gridCol w:w="1075"/>
        <w:gridCol w:w="1075"/>
      </w:tblGrid>
      <w:tr w:rsidR="00E545F9" w:rsidRPr="00A9179C" w:rsidTr="00174359">
        <w:trPr>
          <w:trHeight w:val="285"/>
          <w:jc w:val="center"/>
        </w:trPr>
        <w:tc>
          <w:tcPr>
            <w:tcW w:w="3315"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E545F9" w:rsidRPr="00A9179C" w:rsidRDefault="00E545F9" w:rsidP="00174359">
            <w:pPr>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Particulars</w:t>
            </w:r>
          </w:p>
        </w:tc>
        <w:tc>
          <w:tcPr>
            <w:tcW w:w="1075" w:type="dxa"/>
            <w:tcBorders>
              <w:top w:val="single" w:sz="8" w:space="0" w:color="auto"/>
              <w:left w:val="nil"/>
              <w:bottom w:val="single" w:sz="8" w:space="0" w:color="auto"/>
              <w:right w:val="single" w:sz="8" w:space="0" w:color="auto"/>
            </w:tcBorders>
            <w:shd w:val="clear" w:color="000000" w:fill="A9D08E"/>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Nov-21</w:t>
            </w:r>
          </w:p>
        </w:tc>
        <w:tc>
          <w:tcPr>
            <w:tcW w:w="1075" w:type="dxa"/>
            <w:tcBorders>
              <w:top w:val="single" w:sz="8" w:space="0" w:color="auto"/>
              <w:left w:val="nil"/>
              <w:bottom w:val="single" w:sz="8" w:space="0" w:color="auto"/>
              <w:right w:val="single" w:sz="8" w:space="0" w:color="auto"/>
            </w:tcBorders>
            <w:shd w:val="clear" w:color="000000" w:fill="A9D08E"/>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Dec-21</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vAlign w:val="center"/>
            <w:hideMark/>
          </w:tcPr>
          <w:p w:rsidR="00E545F9" w:rsidRPr="00A9179C" w:rsidRDefault="00E545F9" w:rsidP="00174359">
            <w:pPr>
              <w:rPr>
                <w:rFonts w:ascii="Garamond" w:eastAsia="Times New Roman" w:hAnsi="Garamond" w:cs="Calibri"/>
                <w:b/>
                <w:bCs/>
                <w:i/>
                <w:iCs/>
                <w:color w:val="000000"/>
                <w:sz w:val="22"/>
                <w:szCs w:val="22"/>
                <w:lang w:eastAsia="en-IN"/>
              </w:rPr>
            </w:pPr>
            <w:r w:rsidRPr="00A9179C">
              <w:rPr>
                <w:rFonts w:ascii="Garamond" w:eastAsia="Times New Roman" w:hAnsi="Garamond" w:cs="Calibri"/>
                <w:b/>
                <w:bCs/>
                <w:i/>
                <w:iCs/>
                <w:color w:val="000000"/>
                <w:sz w:val="22"/>
                <w:szCs w:val="22"/>
                <w:lang w:eastAsia="en-IN"/>
              </w:rPr>
              <w:t>I. Equity Issues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63,439</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21,620</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a. IPOs (i+ii)</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36,305</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15,681</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i/>
                <w:iCs/>
                <w:color w:val="000000"/>
                <w:sz w:val="22"/>
                <w:szCs w:val="22"/>
                <w:lang w:eastAsia="en-IN"/>
              </w:rPr>
            </w:pPr>
            <w:r w:rsidRPr="00A9179C">
              <w:rPr>
                <w:rFonts w:ascii="Garamond" w:eastAsia="Times New Roman" w:hAnsi="Garamond" w:cs="Calibri"/>
                <w:i/>
                <w:iCs/>
                <w:color w:val="000000"/>
                <w:sz w:val="22"/>
                <w:szCs w:val="22"/>
                <w:lang w:eastAsia="en-IN"/>
              </w:rPr>
              <w:t xml:space="preserve">    i. Main Board</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36,195</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15,553</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i/>
                <w:iCs/>
                <w:color w:val="000000"/>
                <w:sz w:val="22"/>
                <w:szCs w:val="22"/>
                <w:lang w:eastAsia="en-IN"/>
              </w:rPr>
            </w:pPr>
            <w:r w:rsidRPr="00A9179C">
              <w:rPr>
                <w:rFonts w:ascii="Garamond" w:eastAsia="Times New Roman" w:hAnsi="Garamond" w:cs="Calibri"/>
                <w:i/>
                <w:iCs/>
                <w:color w:val="000000"/>
                <w:sz w:val="22"/>
                <w:szCs w:val="22"/>
                <w:lang w:eastAsia="en-IN"/>
              </w:rPr>
              <w:t xml:space="preserve">    ii. SME Platform</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110</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128</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b. FPOs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0</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0</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c. Equity Rights Issues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21</w:t>
            </w:r>
            <w:r w:rsidR="00F13BB5" w:rsidRPr="00A9179C">
              <w:rPr>
                <w:rFonts w:ascii="Garamond" w:eastAsia="Times New Roman" w:hAnsi="Garamond" w:cs="Calibri"/>
                <w:color w:val="000000"/>
                <w:sz w:val="22"/>
                <w:szCs w:val="22"/>
                <w:lang w:eastAsia="en-IN"/>
              </w:rPr>
              <w:t>,</w:t>
            </w:r>
            <w:r w:rsidRPr="00A9179C">
              <w:rPr>
                <w:rFonts w:ascii="Garamond" w:eastAsia="Times New Roman" w:hAnsi="Garamond" w:cs="Calibri"/>
                <w:color w:val="000000"/>
                <w:sz w:val="22"/>
                <w:szCs w:val="22"/>
                <w:lang w:eastAsia="en-IN"/>
              </w:rPr>
              <w:t>055</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2</w:t>
            </w:r>
            <w:r w:rsidR="00F13BB5" w:rsidRPr="00A9179C">
              <w:rPr>
                <w:rFonts w:ascii="Garamond" w:eastAsia="Times New Roman" w:hAnsi="Garamond" w:cs="Calibri"/>
                <w:color w:val="000000"/>
                <w:sz w:val="22"/>
                <w:szCs w:val="22"/>
                <w:lang w:eastAsia="en-IN"/>
              </w:rPr>
              <w:t>,</w:t>
            </w:r>
            <w:r w:rsidRPr="00A9179C">
              <w:rPr>
                <w:rFonts w:ascii="Garamond" w:eastAsia="Times New Roman" w:hAnsi="Garamond" w:cs="Calibri"/>
                <w:color w:val="000000"/>
                <w:sz w:val="22"/>
                <w:szCs w:val="22"/>
                <w:lang w:eastAsia="en-IN"/>
              </w:rPr>
              <w:t>577</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d. QIPs/IPPs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5,617</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704</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e. Preferential Allotments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462</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2,658</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vAlign w:val="center"/>
            <w:hideMark/>
          </w:tcPr>
          <w:p w:rsidR="00E545F9" w:rsidRPr="00A9179C" w:rsidRDefault="00E545F9" w:rsidP="00174359">
            <w:pPr>
              <w:rPr>
                <w:rFonts w:ascii="Garamond" w:eastAsia="Times New Roman" w:hAnsi="Garamond" w:cs="Calibri"/>
                <w:b/>
                <w:bCs/>
                <w:i/>
                <w:iCs/>
                <w:color w:val="000000"/>
                <w:sz w:val="22"/>
                <w:szCs w:val="22"/>
                <w:lang w:eastAsia="en-IN"/>
              </w:rPr>
            </w:pPr>
            <w:r w:rsidRPr="00A9179C">
              <w:rPr>
                <w:rFonts w:ascii="Garamond" w:eastAsia="Times New Roman" w:hAnsi="Garamond" w:cs="Calibri"/>
                <w:b/>
                <w:bCs/>
                <w:i/>
                <w:iCs/>
                <w:color w:val="000000"/>
                <w:sz w:val="22"/>
                <w:szCs w:val="22"/>
                <w:lang w:eastAsia="en-IN"/>
              </w:rPr>
              <w:t>II. Debt Issues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47,704</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73,601</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a. Debt Public Issues</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50</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456</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b. Private Placement of Debt</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47,654</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color w:val="000000"/>
                <w:sz w:val="22"/>
                <w:szCs w:val="22"/>
                <w:lang w:eastAsia="en-IN"/>
              </w:rPr>
            </w:pPr>
            <w:r w:rsidRPr="00A9179C">
              <w:rPr>
                <w:rFonts w:ascii="Garamond" w:eastAsia="Times New Roman" w:hAnsi="Garamond" w:cs="Calibri"/>
                <w:color w:val="000000"/>
                <w:sz w:val="22"/>
                <w:szCs w:val="22"/>
                <w:lang w:eastAsia="en-IN"/>
              </w:rPr>
              <w:t>73,145</w:t>
            </w:r>
          </w:p>
        </w:tc>
      </w:tr>
      <w:tr w:rsidR="00E545F9" w:rsidRPr="00A9179C" w:rsidTr="00174359">
        <w:trPr>
          <w:trHeight w:val="285"/>
          <w:jc w:val="center"/>
        </w:trPr>
        <w:tc>
          <w:tcPr>
            <w:tcW w:w="3315" w:type="dxa"/>
            <w:tcBorders>
              <w:top w:val="nil"/>
              <w:left w:val="single" w:sz="8" w:space="0" w:color="auto"/>
              <w:bottom w:val="single" w:sz="8" w:space="0" w:color="auto"/>
              <w:right w:val="single" w:sz="8" w:space="0" w:color="auto"/>
            </w:tcBorders>
            <w:shd w:val="clear" w:color="auto" w:fill="auto"/>
            <w:noWrap/>
            <w:vAlign w:val="center"/>
            <w:hideMark/>
          </w:tcPr>
          <w:p w:rsidR="00E545F9" w:rsidRPr="00A9179C" w:rsidRDefault="00E545F9" w:rsidP="00174359">
            <w:pPr>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Total Funds Mobilised (I+II)</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1,11,143</w:t>
            </w:r>
          </w:p>
        </w:tc>
        <w:tc>
          <w:tcPr>
            <w:tcW w:w="1075" w:type="dxa"/>
            <w:tcBorders>
              <w:top w:val="nil"/>
              <w:left w:val="nil"/>
              <w:bottom w:val="single" w:sz="8" w:space="0" w:color="auto"/>
              <w:right w:val="single" w:sz="8" w:space="0" w:color="auto"/>
            </w:tcBorders>
            <w:shd w:val="clear" w:color="auto" w:fill="auto"/>
            <w:noWrap/>
            <w:vAlign w:val="center"/>
            <w:hideMark/>
          </w:tcPr>
          <w:p w:rsidR="00E545F9" w:rsidRPr="00A9179C" w:rsidRDefault="00E545F9" w:rsidP="00174359">
            <w:pPr>
              <w:jc w:val="right"/>
              <w:rPr>
                <w:rFonts w:ascii="Garamond" w:eastAsia="Times New Roman" w:hAnsi="Garamond" w:cs="Calibri"/>
                <w:b/>
                <w:bCs/>
                <w:color w:val="000000"/>
                <w:sz w:val="22"/>
                <w:szCs w:val="22"/>
                <w:lang w:eastAsia="en-IN"/>
              </w:rPr>
            </w:pPr>
            <w:r w:rsidRPr="00A9179C">
              <w:rPr>
                <w:rFonts w:ascii="Garamond" w:eastAsia="Times New Roman" w:hAnsi="Garamond" w:cs="Calibri"/>
                <w:b/>
                <w:bCs/>
                <w:color w:val="000000"/>
                <w:sz w:val="22"/>
                <w:szCs w:val="22"/>
                <w:lang w:eastAsia="en-IN"/>
              </w:rPr>
              <w:t>95,221</w:t>
            </w:r>
          </w:p>
        </w:tc>
      </w:tr>
    </w:tbl>
    <w:p w:rsidR="00E545F9" w:rsidRDefault="00E545F9" w:rsidP="00E545F9">
      <w:pPr>
        <w:widowControl w:val="0"/>
        <w:spacing w:line="276" w:lineRule="auto"/>
        <w:ind w:left="2160"/>
        <w:jc w:val="both"/>
        <w:rPr>
          <w:rFonts w:ascii="Garamond" w:eastAsia="Palatino Linotype" w:hAnsi="Garamond" w:cs="Palatino Linotype"/>
          <w:bCs/>
          <w:szCs w:val="22"/>
        </w:rPr>
      </w:pP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SEBI, BSE, NSE and MSEI</w:t>
      </w:r>
    </w:p>
    <w:p w:rsidR="006A6CB3" w:rsidRPr="006A6CB3" w:rsidRDefault="006A6CB3" w:rsidP="006A6CB3">
      <w:pPr>
        <w:widowControl w:val="0"/>
        <w:tabs>
          <w:tab w:val="right" w:pos="9888"/>
        </w:tabs>
        <w:spacing w:line="276" w:lineRule="auto"/>
        <w:jc w:val="both"/>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Trends in the Secondary Market</w:t>
      </w:r>
    </w:p>
    <w:p w:rsidR="00FC3F43" w:rsidRPr="00F37007" w:rsidRDefault="00FC3F43" w:rsidP="0059680B">
      <w:pPr>
        <w:pStyle w:val="ListParagraph"/>
        <w:numPr>
          <w:ilvl w:val="0"/>
          <w:numId w:val="29"/>
        </w:numPr>
        <w:pBdr>
          <w:between w:val="nil"/>
        </w:pBdr>
        <w:spacing w:before="100" w:beforeAutospacing="1" w:after="100" w:afterAutospacing="1"/>
        <w:ind w:left="714" w:hanging="357"/>
        <w:jc w:val="both"/>
        <w:rPr>
          <w:rFonts w:ascii="Garamond" w:eastAsia="Palatino Linotype" w:hAnsi="Garamond" w:cs="Palatino Linotype"/>
          <w:sz w:val="24"/>
          <w:szCs w:val="24"/>
          <w:lang w:val="en-GB"/>
        </w:rPr>
      </w:pPr>
      <w:r w:rsidRPr="00F37007">
        <w:rPr>
          <w:rFonts w:ascii="Garamond" w:eastAsia="Palatino Linotype" w:hAnsi="Garamond" w:cs="Palatino Linotype"/>
          <w:sz w:val="24"/>
          <w:szCs w:val="24"/>
          <w:lang w:val="en-GB"/>
        </w:rPr>
        <w:t xml:space="preserve">During December 2021, Nifty 50 touched 17639 on December 13, 2021 and closed at 17,354 registering an increase of 2.2 per cent over November-end 2021. Similarly, BSE Sensex touched high of 59,203 on December 13, 2021 and closed at 58,254 rising by 3.8 per cent over end of December 2021. The P/E ratios of S&amp;P BSE Sensex and Nifty 50 were 27.2 and 24.1 respectively, at the end of November 2021. </w:t>
      </w:r>
    </w:p>
    <w:p w:rsidR="00FC3F43" w:rsidRPr="00F37007" w:rsidRDefault="00FC3F43" w:rsidP="0059680B">
      <w:pPr>
        <w:numPr>
          <w:ilvl w:val="0"/>
          <w:numId w:val="1"/>
        </w:numPr>
        <w:pBdr>
          <w:between w:val="nil"/>
        </w:pBdr>
        <w:spacing w:before="100" w:beforeAutospacing="1" w:after="100" w:afterAutospacing="1" w:line="276" w:lineRule="auto"/>
        <w:jc w:val="both"/>
        <w:rPr>
          <w:rFonts w:ascii="Garamond" w:eastAsia="Palatino Linotype" w:hAnsi="Garamond" w:cs="Palatino Linotype"/>
        </w:rPr>
      </w:pPr>
      <w:r w:rsidRPr="00F37007">
        <w:rPr>
          <w:rFonts w:ascii="Garamond" w:eastAsia="Palatino Linotype" w:hAnsi="Garamond" w:cs="Palatino Linotype"/>
        </w:rPr>
        <w:t xml:space="preserve">The market capitalisation of both the BSE and NSE rose by 3.4 per cent, at the end of December 2021, over the previous month-end. </w:t>
      </w:r>
    </w:p>
    <w:p w:rsidR="00FC3F43" w:rsidRPr="00F37007" w:rsidRDefault="00FC3F43" w:rsidP="00FC3F43">
      <w:pPr>
        <w:pBdr>
          <w:between w:val="nil"/>
        </w:pBdr>
        <w:spacing w:before="100" w:beforeAutospacing="1" w:after="100" w:afterAutospacing="1"/>
        <w:ind w:left="720"/>
        <w:jc w:val="both"/>
        <w:rPr>
          <w:rFonts w:ascii="Garamond" w:eastAsia="Palatino Linotype" w:hAnsi="Garamond" w:cs="Palatino Linotype"/>
        </w:rPr>
      </w:pPr>
      <w:r w:rsidRPr="00F37007">
        <w:rPr>
          <w:rFonts w:ascii="Garamond" w:eastAsia="Palatino Linotype" w:hAnsi="Garamond" w:cs="Palatino Linotype"/>
          <w:b/>
        </w:rPr>
        <w:lastRenderedPageBreak/>
        <w:t xml:space="preserve">Table 2: Snapshot of Indian Capital Market </w:t>
      </w:r>
    </w:p>
    <w:tbl>
      <w:tblPr>
        <w:tblW w:w="8217" w:type="dxa"/>
        <w:jc w:val="center"/>
        <w:tblLook w:val="04A0" w:firstRow="1" w:lastRow="0" w:firstColumn="1" w:lastColumn="0" w:noHBand="0" w:noVBand="1"/>
      </w:tblPr>
      <w:tblGrid>
        <w:gridCol w:w="2354"/>
        <w:gridCol w:w="1752"/>
        <w:gridCol w:w="1843"/>
        <w:gridCol w:w="2268"/>
      </w:tblGrid>
      <w:tr w:rsidR="00FC3F43" w:rsidRPr="00F37007" w:rsidTr="00174359">
        <w:trPr>
          <w:trHeight w:val="396"/>
          <w:jc w:val="center"/>
        </w:trPr>
        <w:tc>
          <w:tcPr>
            <w:tcW w:w="2354" w:type="dxa"/>
            <w:tcBorders>
              <w:top w:val="single" w:sz="4" w:space="0" w:color="auto"/>
              <w:left w:val="single" w:sz="4" w:space="0" w:color="auto"/>
              <w:bottom w:val="nil"/>
              <w:right w:val="single" w:sz="4" w:space="0" w:color="auto"/>
            </w:tcBorders>
            <w:shd w:val="clear" w:color="000000" w:fill="92CDDC"/>
            <w:noWrap/>
            <w:vAlign w:val="center"/>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Description</w:t>
            </w:r>
          </w:p>
        </w:tc>
        <w:tc>
          <w:tcPr>
            <w:tcW w:w="1752" w:type="dxa"/>
            <w:tcBorders>
              <w:top w:val="single" w:sz="4" w:space="0" w:color="auto"/>
              <w:left w:val="single" w:sz="4" w:space="0" w:color="auto"/>
              <w:bottom w:val="nil"/>
              <w:right w:val="single" w:sz="4" w:space="0" w:color="auto"/>
            </w:tcBorders>
            <w:shd w:val="clear" w:color="000000" w:fill="92CDDC"/>
            <w:noWrap/>
            <w:vAlign w:val="center"/>
            <w:hideMark/>
          </w:tcPr>
          <w:p w:rsidR="00FC3F43" w:rsidRPr="00F37007" w:rsidRDefault="00FC3F43" w:rsidP="00174359">
            <w:pPr>
              <w:jc w:val="cente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Nov-21</w:t>
            </w:r>
          </w:p>
        </w:tc>
        <w:tc>
          <w:tcPr>
            <w:tcW w:w="184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FC3F43" w:rsidRPr="00F37007" w:rsidRDefault="00FC3F43" w:rsidP="00174359">
            <w:pPr>
              <w:jc w:val="cente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Dec-21</w:t>
            </w:r>
          </w:p>
        </w:tc>
        <w:tc>
          <w:tcPr>
            <w:tcW w:w="2268"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FC3F43" w:rsidRPr="00F37007" w:rsidRDefault="00FC3F43" w:rsidP="00174359">
            <w:pPr>
              <w:jc w:val="cente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M-o-M variation (%)</w:t>
            </w:r>
          </w:p>
        </w:tc>
      </w:tr>
      <w:tr w:rsidR="00FC3F43" w:rsidRPr="00F37007" w:rsidTr="00174359">
        <w:trPr>
          <w:trHeight w:val="322"/>
          <w:jc w:val="center"/>
        </w:trPr>
        <w:tc>
          <w:tcPr>
            <w:tcW w:w="8217" w:type="dxa"/>
            <w:gridSpan w:val="4"/>
            <w:tcBorders>
              <w:top w:val="single" w:sz="8" w:space="0" w:color="auto"/>
              <w:left w:val="single" w:sz="4" w:space="0" w:color="auto"/>
              <w:bottom w:val="single" w:sz="8" w:space="0" w:color="000000"/>
              <w:right w:val="single" w:sz="4" w:space="0" w:color="auto"/>
            </w:tcBorders>
            <w:shd w:val="clear" w:color="000000" w:fill="C6E0B4"/>
            <w:noWrap/>
            <w:vAlign w:val="center"/>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Equity Market indices</w:t>
            </w:r>
          </w:p>
        </w:tc>
      </w:tr>
      <w:tr w:rsidR="00FC3F43" w:rsidRPr="00F37007" w:rsidTr="00174359">
        <w:trPr>
          <w:trHeight w:val="237"/>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Nifty 50</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16,983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17,354</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2.2</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Sensex</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57,065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58,254</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2.1</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Nifty Midcap 50</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8,186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8,411</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2.7</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Nifty Smallcap 100</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10,661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11,289</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5.9</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BSE Midcap</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24,688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24,970</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1.1</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BSE Smallcap</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27,937 </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29,458</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5.4</w:t>
            </w:r>
          </w:p>
        </w:tc>
      </w:tr>
      <w:tr w:rsidR="00FC3F43" w:rsidRPr="00F37007" w:rsidTr="00174359">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Market Capitalisation (</w:t>
            </w:r>
            <w:r w:rsidRPr="00F37007">
              <w:rPr>
                <w:rFonts w:ascii="Times New Roman" w:eastAsia="Times New Roman" w:hAnsi="Times New Roman"/>
                <w:b/>
                <w:bCs/>
                <w:color w:val="000000"/>
                <w:sz w:val="20"/>
                <w:szCs w:val="20"/>
              </w:rPr>
              <w:t>₹</w:t>
            </w:r>
            <w:r w:rsidRPr="00F37007">
              <w:rPr>
                <w:rFonts w:ascii="Garamond" w:eastAsia="Times New Roman" w:hAnsi="Garamond" w:cs="Calibri"/>
                <w:b/>
                <w:bCs/>
                <w:color w:val="000000"/>
                <w:sz w:val="20"/>
                <w:szCs w:val="20"/>
              </w:rPr>
              <w:t xml:space="preserve"> crore)</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2,57,17,228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2,66,00,212</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3.4</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2,55,37,038 </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2,64,02,579</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3.4</w:t>
            </w:r>
          </w:p>
        </w:tc>
      </w:tr>
      <w:tr w:rsidR="00FC3F43" w:rsidRPr="00F37007" w:rsidTr="00174359">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P/E Ratio</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Sensex</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28.6</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27.2</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-5.0</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Nifty 50</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23.4</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24.1</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3.0</w:t>
            </w:r>
          </w:p>
        </w:tc>
      </w:tr>
      <w:tr w:rsidR="00FC3F43" w:rsidRPr="00F37007" w:rsidTr="00174359">
        <w:trPr>
          <w:trHeight w:val="297"/>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No of Listed Companies</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 5,304 </w:t>
            </w:r>
          </w:p>
        </w:tc>
        <w:tc>
          <w:tcPr>
            <w:tcW w:w="1843" w:type="dxa"/>
            <w:tcBorders>
              <w:top w:val="nil"/>
              <w:left w:val="nil"/>
              <w:bottom w:val="nil"/>
              <w:right w:val="single" w:sz="8" w:space="0" w:color="auto"/>
            </w:tcBorders>
            <w:shd w:val="clear" w:color="000000" w:fill="FFFFFF"/>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5,327</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0.4</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 2,035 </w:t>
            </w:r>
          </w:p>
        </w:tc>
        <w:tc>
          <w:tcPr>
            <w:tcW w:w="1843" w:type="dxa"/>
            <w:tcBorders>
              <w:top w:val="nil"/>
              <w:left w:val="single" w:sz="4" w:space="0" w:color="auto"/>
              <w:bottom w:val="nil"/>
              <w:right w:val="single" w:sz="4" w:space="0" w:color="auto"/>
            </w:tcBorders>
            <w:shd w:val="clear" w:color="auto" w:fill="auto"/>
            <w:noWrap/>
          </w:tcPr>
          <w:p w:rsidR="00FC3F43" w:rsidRPr="00F37007" w:rsidRDefault="00F37007" w:rsidP="00174359">
            <w:pPr>
              <w:jc w:val="right"/>
              <w:rPr>
                <w:rFonts w:ascii="Garamond" w:eastAsia="Times New Roman" w:hAnsi="Garamond" w:cs="Calibri"/>
                <w:color w:val="000000"/>
                <w:sz w:val="20"/>
                <w:szCs w:val="20"/>
              </w:rPr>
            </w:pPr>
            <w:r>
              <w:rPr>
                <w:rFonts w:ascii="Garamond" w:eastAsia="Times New Roman" w:hAnsi="Garamond" w:cs="Calibri"/>
                <w:color w:val="000000"/>
                <w:sz w:val="20"/>
                <w:szCs w:val="20"/>
              </w:rPr>
              <w:t>2,053</w:t>
            </w:r>
          </w:p>
        </w:tc>
        <w:tc>
          <w:tcPr>
            <w:tcW w:w="2268" w:type="dxa"/>
            <w:tcBorders>
              <w:top w:val="nil"/>
              <w:left w:val="single" w:sz="4" w:space="0" w:color="auto"/>
              <w:bottom w:val="nil"/>
              <w:right w:val="single" w:sz="4" w:space="0" w:color="auto"/>
            </w:tcBorders>
            <w:shd w:val="clear" w:color="auto" w:fill="auto"/>
            <w:noWrap/>
          </w:tcPr>
          <w:p w:rsidR="00FC3F43" w:rsidRPr="00F37007" w:rsidRDefault="00F37007" w:rsidP="00174359">
            <w:pPr>
              <w:jc w:val="right"/>
              <w:rPr>
                <w:rFonts w:ascii="Garamond" w:eastAsia="Times New Roman" w:hAnsi="Garamond" w:cs="Calibri"/>
                <w:color w:val="000000"/>
                <w:sz w:val="20"/>
                <w:szCs w:val="20"/>
              </w:rPr>
            </w:pPr>
            <w:r>
              <w:rPr>
                <w:rFonts w:ascii="Garamond" w:eastAsia="Times New Roman" w:hAnsi="Garamond" w:cs="Calibri"/>
                <w:color w:val="000000"/>
                <w:sz w:val="20"/>
                <w:szCs w:val="20"/>
              </w:rPr>
              <w:t>0.9</w:t>
            </w:r>
          </w:p>
        </w:tc>
      </w:tr>
      <w:tr w:rsidR="00FC3F43" w:rsidRPr="00F37007" w:rsidTr="00174359">
        <w:trPr>
          <w:trHeight w:val="372"/>
          <w:jc w:val="center"/>
        </w:trPr>
        <w:tc>
          <w:tcPr>
            <w:tcW w:w="8217" w:type="dxa"/>
            <w:gridSpan w:val="4"/>
            <w:tcBorders>
              <w:top w:val="single" w:sz="8" w:space="0" w:color="auto"/>
              <w:left w:val="single" w:sz="4" w:space="0" w:color="auto"/>
              <w:bottom w:val="single" w:sz="8" w:space="0" w:color="auto"/>
              <w:right w:val="single" w:sz="4" w:space="0" w:color="auto"/>
            </w:tcBorders>
            <w:shd w:val="clear" w:color="000000" w:fill="C6E0B4"/>
            <w:noWrap/>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Gross Turnover in Equity Segment (</w:t>
            </w:r>
            <w:r w:rsidRPr="00F37007">
              <w:rPr>
                <w:rFonts w:ascii="Times New Roman" w:eastAsia="Times New Roman" w:hAnsi="Times New Roman"/>
                <w:b/>
                <w:bCs/>
                <w:color w:val="000000"/>
                <w:sz w:val="20"/>
                <w:szCs w:val="20"/>
              </w:rPr>
              <w:t>₹</w:t>
            </w:r>
            <w:r w:rsidRPr="00F37007">
              <w:rPr>
                <w:rFonts w:ascii="Garamond" w:eastAsia="Times New Roman" w:hAnsi="Garamond" w:cs="Calibri"/>
                <w:b/>
                <w:bCs/>
                <w:color w:val="000000"/>
                <w:sz w:val="20"/>
                <w:szCs w:val="20"/>
              </w:rPr>
              <w:t xml:space="preserve"> crore)</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97,066 </w:t>
            </w:r>
          </w:p>
        </w:tc>
        <w:tc>
          <w:tcPr>
            <w:tcW w:w="1843" w:type="dxa"/>
            <w:tcBorders>
              <w:top w:val="nil"/>
              <w:left w:val="nil"/>
              <w:bottom w:val="nil"/>
              <w:right w:val="single" w:sz="8" w:space="0" w:color="auto"/>
            </w:tcBorders>
            <w:shd w:val="clear" w:color="000000" w:fill="FFFFFF"/>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97,897</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0.9</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13,39,630 </w:t>
            </w:r>
          </w:p>
        </w:tc>
        <w:tc>
          <w:tcPr>
            <w:tcW w:w="1843" w:type="dxa"/>
            <w:tcBorders>
              <w:top w:val="nil"/>
              <w:left w:val="nil"/>
              <w:bottom w:val="single" w:sz="8" w:space="0" w:color="auto"/>
              <w:right w:val="single" w:sz="8" w:space="0" w:color="auto"/>
            </w:tcBorders>
            <w:shd w:val="clear" w:color="000000" w:fill="FFFFFF"/>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12,32,735</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-8.0</w:t>
            </w:r>
          </w:p>
        </w:tc>
      </w:tr>
      <w:tr w:rsidR="00FC3F43" w:rsidRPr="00F37007" w:rsidTr="00174359">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Gross Turnover in Equity Derivatives Segment (</w:t>
            </w:r>
            <w:r w:rsidRPr="00F37007">
              <w:rPr>
                <w:rFonts w:ascii="Times New Roman" w:eastAsia="Times New Roman" w:hAnsi="Times New Roman"/>
                <w:b/>
                <w:bCs/>
                <w:color w:val="000000"/>
                <w:sz w:val="20"/>
                <w:szCs w:val="20"/>
              </w:rPr>
              <w:t>₹</w:t>
            </w:r>
            <w:r w:rsidRPr="00F37007">
              <w:rPr>
                <w:rFonts w:ascii="Garamond" w:eastAsia="Times New Roman" w:hAnsi="Garamond" w:cs="Calibri"/>
                <w:b/>
                <w:bCs/>
                <w:color w:val="000000"/>
                <w:sz w:val="20"/>
                <w:szCs w:val="20"/>
              </w:rPr>
              <w:t xml:space="preserve"> crore)</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50,94,172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59,22,581</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16.3</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14,62,46,690 </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17,37,20,403</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18.8</w:t>
            </w:r>
          </w:p>
        </w:tc>
      </w:tr>
      <w:tr w:rsidR="00FC3F43" w:rsidRPr="00F37007" w:rsidTr="00174359">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Gross Turnover in Currency Derivatives Segment (</w:t>
            </w:r>
            <w:r w:rsidRPr="00F37007">
              <w:rPr>
                <w:rFonts w:ascii="Times New Roman" w:eastAsia="Times New Roman" w:hAnsi="Times New Roman"/>
                <w:b/>
                <w:bCs/>
                <w:color w:val="000000"/>
                <w:sz w:val="20"/>
                <w:szCs w:val="20"/>
              </w:rPr>
              <w:t>₹</w:t>
            </w:r>
            <w:r w:rsidRPr="00F37007">
              <w:rPr>
                <w:rFonts w:ascii="Garamond" w:eastAsia="Times New Roman" w:hAnsi="Garamond" w:cs="Calibri"/>
                <w:b/>
                <w:bCs/>
                <w:color w:val="000000"/>
                <w:sz w:val="20"/>
                <w:szCs w:val="20"/>
              </w:rPr>
              <w:t xml:space="preserve"> crore)</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5,27,481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6,38,502</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21.0</w:t>
            </w:r>
          </w:p>
        </w:tc>
      </w:tr>
      <w:tr w:rsidR="00FC3F43" w:rsidRPr="00F37007" w:rsidTr="00174359">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16,19,218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23,26,400</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43.7</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MSEI</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4,278 </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10,056</w:t>
            </w:r>
          </w:p>
        </w:tc>
        <w:tc>
          <w:tcPr>
            <w:tcW w:w="2268"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135.1</w:t>
            </w:r>
          </w:p>
        </w:tc>
      </w:tr>
      <w:tr w:rsidR="00FC3F43" w:rsidRPr="00F37007" w:rsidTr="00174359">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FC3F43" w:rsidRPr="00F37007" w:rsidRDefault="00FC3F43" w:rsidP="00174359">
            <w:pPr>
              <w:rPr>
                <w:rFonts w:ascii="Garamond" w:eastAsia="Times New Roman" w:hAnsi="Garamond" w:cs="Calibri"/>
                <w:b/>
                <w:bCs/>
                <w:color w:val="000000"/>
                <w:sz w:val="20"/>
                <w:szCs w:val="20"/>
                <w:lang w:val="en-US"/>
              </w:rPr>
            </w:pPr>
            <w:r w:rsidRPr="00F37007">
              <w:rPr>
                <w:rFonts w:ascii="Garamond" w:eastAsia="Times New Roman" w:hAnsi="Garamond" w:cs="Calibri"/>
                <w:b/>
                <w:bCs/>
                <w:color w:val="000000"/>
                <w:sz w:val="20"/>
                <w:szCs w:val="20"/>
              </w:rPr>
              <w:t>Gross Turnover in Interest Rate Derivatives Segment (</w:t>
            </w:r>
            <w:r w:rsidRPr="00F37007">
              <w:rPr>
                <w:rFonts w:ascii="Times New Roman" w:eastAsia="Times New Roman" w:hAnsi="Times New Roman"/>
                <w:b/>
                <w:bCs/>
                <w:color w:val="000000"/>
                <w:sz w:val="20"/>
                <w:szCs w:val="20"/>
              </w:rPr>
              <w:t>₹</w:t>
            </w:r>
            <w:r w:rsidRPr="00F37007">
              <w:rPr>
                <w:rFonts w:ascii="Garamond" w:eastAsia="Times New Roman" w:hAnsi="Garamond" w:cs="Calibri"/>
                <w:b/>
                <w:bCs/>
                <w:color w:val="000000"/>
                <w:sz w:val="20"/>
                <w:szCs w:val="20"/>
              </w:rPr>
              <w:t xml:space="preserve"> crore)</w:t>
            </w:r>
          </w:p>
        </w:tc>
      </w:tr>
      <w:tr w:rsidR="00FC3F43" w:rsidRPr="00F37007" w:rsidTr="00174359">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 xml:space="preserve">BSE </w:t>
            </w:r>
          </w:p>
        </w:tc>
        <w:tc>
          <w:tcPr>
            <w:tcW w:w="1752" w:type="dxa"/>
            <w:tcBorders>
              <w:top w:val="single" w:sz="4" w:space="0" w:color="auto"/>
              <w:left w:val="single" w:sz="4" w:space="0" w:color="auto"/>
              <w:bottom w:val="nil"/>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2,277 </w:t>
            </w:r>
          </w:p>
        </w:tc>
        <w:tc>
          <w:tcPr>
            <w:tcW w:w="1843" w:type="dxa"/>
            <w:tcBorders>
              <w:top w:val="nil"/>
              <w:left w:val="nil"/>
              <w:bottom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2,031</w:t>
            </w:r>
          </w:p>
        </w:tc>
        <w:tc>
          <w:tcPr>
            <w:tcW w:w="2268" w:type="dxa"/>
            <w:tcBorders>
              <w:top w:val="nil"/>
              <w:left w:val="nil"/>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-10.8</w:t>
            </w:r>
          </w:p>
        </w:tc>
      </w:tr>
      <w:tr w:rsidR="00FC3F43" w:rsidRPr="00F37007" w:rsidTr="00174359">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rPr>
                <w:rFonts w:ascii="Garamond" w:eastAsia="Times New Roman" w:hAnsi="Garamond" w:cs="Calibri"/>
                <w:color w:val="000000"/>
                <w:sz w:val="20"/>
                <w:szCs w:val="20"/>
                <w:lang w:val="en-US"/>
              </w:rPr>
            </w:pPr>
            <w:r w:rsidRPr="00F37007">
              <w:rPr>
                <w:rFonts w:ascii="Garamond" w:eastAsia="Times New Roman" w:hAnsi="Garamond" w:cs="Calibri"/>
                <w:color w:val="000000"/>
                <w:sz w:val="20"/>
                <w:szCs w:val="20"/>
              </w:rPr>
              <w:t>NSE</w:t>
            </w:r>
          </w:p>
        </w:tc>
        <w:tc>
          <w:tcPr>
            <w:tcW w:w="1752" w:type="dxa"/>
            <w:tcBorders>
              <w:top w:val="nil"/>
              <w:left w:val="single" w:sz="4" w:space="0" w:color="auto"/>
              <w:bottom w:val="single" w:sz="4" w:space="0" w:color="auto"/>
              <w:right w:val="single" w:sz="4" w:space="0" w:color="auto"/>
            </w:tcBorders>
            <w:shd w:val="clear" w:color="auto" w:fill="auto"/>
            <w:noWrap/>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eastAsia="Times New Roman" w:hAnsi="Garamond" w:cs="Calibri"/>
                <w:color w:val="000000"/>
                <w:sz w:val="20"/>
                <w:szCs w:val="20"/>
              </w:rPr>
              <w:t xml:space="preserve"> 1,603</w:t>
            </w:r>
          </w:p>
        </w:tc>
        <w:tc>
          <w:tcPr>
            <w:tcW w:w="1843" w:type="dxa"/>
            <w:tcBorders>
              <w:top w:val="nil"/>
              <w:left w:val="nil"/>
              <w:bottom w:val="single" w:sz="8"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1,757</w:t>
            </w:r>
          </w:p>
        </w:tc>
        <w:tc>
          <w:tcPr>
            <w:tcW w:w="2268" w:type="dxa"/>
            <w:tcBorders>
              <w:top w:val="nil"/>
              <w:left w:val="nil"/>
              <w:bottom w:val="single" w:sz="4" w:space="0" w:color="auto"/>
              <w:right w:val="single" w:sz="8" w:space="0" w:color="auto"/>
            </w:tcBorders>
            <w:shd w:val="clear" w:color="auto" w:fill="auto"/>
            <w:noWrap/>
            <w:vAlign w:val="center"/>
            <w:hideMark/>
          </w:tcPr>
          <w:p w:rsidR="00FC3F43" w:rsidRPr="00F37007" w:rsidRDefault="00FC3F43" w:rsidP="00174359">
            <w:pPr>
              <w:jc w:val="right"/>
              <w:rPr>
                <w:rFonts w:ascii="Garamond" w:eastAsia="Times New Roman" w:hAnsi="Garamond" w:cs="Calibri"/>
                <w:color w:val="000000"/>
                <w:sz w:val="20"/>
                <w:szCs w:val="20"/>
              </w:rPr>
            </w:pPr>
            <w:r w:rsidRPr="00F37007">
              <w:rPr>
                <w:rFonts w:ascii="Garamond" w:hAnsi="Garamond" w:cs="Calibri"/>
                <w:color w:val="000000"/>
                <w:sz w:val="20"/>
                <w:szCs w:val="20"/>
              </w:rPr>
              <w:t>9.6</w:t>
            </w:r>
          </w:p>
        </w:tc>
      </w:tr>
    </w:tbl>
    <w:p w:rsidR="00FC3F43" w:rsidRPr="00F37007" w:rsidRDefault="00FC3F43" w:rsidP="00FC3F43">
      <w:pPr>
        <w:pBdr>
          <w:top w:val="nil"/>
          <w:left w:val="nil"/>
          <w:bottom w:val="nil"/>
          <w:right w:val="nil"/>
          <w:between w:val="nil"/>
        </w:pBdr>
        <w:spacing w:line="276" w:lineRule="auto"/>
        <w:rPr>
          <w:rFonts w:ascii="Garamond" w:eastAsia="Palatino Linotype" w:hAnsi="Garamond" w:cs="Palatino Linotype"/>
          <w:bCs/>
          <w:sz w:val="22"/>
          <w:szCs w:val="22"/>
        </w:rPr>
      </w:pPr>
      <w:r w:rsidRPr="00F37007">
        <w:rPr>
          <w:rFonts w:ascii="Garamond" w:hAnsi="Garamond"/>
        </w:rPr>
        <w:t xml:space="preserve">    </w:t>
      </w:r>
      <w:r w:rsidRPr="00F37007">
        <w:rPr>
          <w:rFonts w:ascii="Garamond" w:hAnsi="Garamond"/>
          <w:sz w:val="22"/>
          <w:szCs w:val="22"/>
        </w:rPr>
        <w:t xml:space="preserve">   </w:t>
      </w:r>
      <w:r w:rsidRPr="00F37007">
        <w:rPr>
          <w:rFonts w:ascii="Garamond" w:eastAsia="Palatino Linotype" w:hAnsi="Garamond" w:cs="Palatino Linotype"/>
          <w:b/>
          <w:sz w:val="22"/>
          <w:szCs w:val="22"/>
        </w:rPr>
        <w:t xml:space="preserve">Source: </w:t>
      </w:r>
      <w:r w:rsidRPr="00F37007">
        <w:rPr>
          <w:rFonts w:ascii="Garamond" w:eastAsia="Palatino Linotype" w:hAnsi="Garamond" w:cs="Palatino Linotype"/>
          <w:bCs/>
          <w:sz w:val="22"/>
          <w:szCs w:val="22"/>
        </w:rPr>
        <w:t>BSE, NSE and MSEI</w:t>
      </w:r>
    </w:p>
    <w:p w:rsidR="00FC3F43" w:rsidRPr="00F37007" w:rsidRDefault="00FC3F43" w:rsidP="00FC3F43">
      <w:pPr>
        <w:spacing w:line="276" w:lineRule="auto"/>
        <w:rPr>
          <w:rFonts w:ascii="Garamond" w:eastAsia="Palatino Linotype" w:hAnsi="Garamond" w:cs="Palatino Linotype"/>
          <w:b/>
        </w:rPr>
      </w:pPr>
    </w:p>
    <w:p w:rsidR="00FC3F43" w:rsidRPr="00F37007" w:rsidRDefault="00FC3F43" w:rsidP="00FC3F43">
      <w:pPr>
        <w:spacing w:line="276" w:lineRule="auto"/>
        <w:rPr>
          <w:rFonts w:ascii="Garamond" w:eastAsia="Palatino Linotype" w:hAnsi="Garamond" w:cs="Palatino Linotype"/>
          <w:b/>
        </w:rPr>
      </w:pPr>
      <w:r w:rsidRPr="00F37007">
        <w:rPr>
          <w:rFonts w:ascii="Garamond" w:eastAsia="Palatino Linotype" w:hAnsi="Garamond" w:cs="Palatino Linotype"/>
          <w:b/>
        </w:rPr>
        <w:t xml:space="preserve">                 Figure 1: Movement of S&amp;P BSE Sensex and Nifty 50</w:t>
      </w:r>
    </w:p>
    <w:p w:rsidR="00FC3F43" w:rsidRPr="008F31D6" w:rsidRDefault="00DD1A9A" w:rsidP="00FC3F43">
      <w:pPr>
        <w:spacing w:line="276" w:lineRule="auto"/>
        <w:rPr>
          <w:rFonts w:ascii="Garamond" w:eastAsia="Palatino Linotype" w:hAnsi="Garamond" w:cs="Palatino Linotype"/>
          <w:b/>
          <w:highlight w:val="yellow"/>
        </w:rPr>
      </w:pPr>
      <w:r w:rsidRPr="00FC3F43">
        <w:rPr>
          <w:noProof/>
          <w:lang w:val="en-IN" w:eastAsia="en-IN" w:bidi="hi-IN"/>
        </w:rPr>
        <w:drawing>
          <wp:inline distT="0" distB="0" distL="0" distR="0">
            <wp:extent cx="6223000" cy="2584450"/>
            <wp:effectExtent l="0" t="0" r="6350" b="635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3F43" w:rsidRPr="00BE0292" w:rsidRDefault="00FC3F43" w:rsidP="00FC3F43">
      <w:pPr>
        <w:spacing w:line="276" w:lineRule="auto"/>
        <w:rPr>
          <w:rFonts w:ascii="Garamond" w:eastAsia="Palatino Linotype" w:hAnsi="Garamond" w:cs="Palatino Linotype"/>
          <w:bCs/>
          <w:i/>
          <w:iCs/>
          <w:sz w:val="22"/>
          <w:szCs w:val="22"/>
        </w:rPr>
      </w:pPr>
      <w:r w:rsidRPr="00BE0292">
        <w:rPr>
          <w:rFonts w:ascii="Garamond" w:eastAsia="Palatino Linotype" w:hAnsi="Garamond" w:cs="Palatino Linotype"/>
          <w:bCs/>
          <w:i/>
          <w:iCs/>
          <w:sz w:val="22"/>
          <w:szCs w:val="22"/>
        </w:rPr>
        <w:t xml:space="preserve">Note: The closing values of Nifty 50 and Sensex have been rebased with respective closing values of last day of the previous month. </w:t>
      </w:r>
    </w:p>
    <w:p w:rsidR="00FC3F43" w:rsidRPr="00712DBE" w:rsidRDefault="00FC3F43" w:rsidP="00FC3F43">
      <w:pPr>
        <w:spacing w:line="276" w:lineRule="auto"/>
        <w:rPr>
          <w:rFonts w:ascii="Garamond" w:eastAsia="Palatino Linotype" w:hAnsi="Garamond" w:cs="Palatino Linotype"/>
          <w:b/>
          <w:sz w:val="22"/>
          <w:szCs w:val="22"/>
        </w:rPr>
      </w:pPr>
      <w:r w:rsidRPr="00BE0292">
        <w:rPr>
          <w:rFonts w:ascii="Garamond" w:eastAsia="Palatino Linotype" w:hAnsi="Garamond" w:cs="Palatino Linotype"/>
          <w:b/>
          <w:sz w:val="22"/>
          <w:szCs w:val="22"/>
        </w:rPr>
        <w:t xml:space="preserve">Source: </w:t>
      </w:r>
      <w:r w:rsidRPr="00BE0292">
        <w:rPr>
          <w:rFonts w:ascii="Garamond" w:eastAsia="Palatino Linotype" w:hAnsi="Garamond" w:cs="Palatino Linotype"/>
          <w:bCs/>
          <w:sz w:val="22"/>
          <w:szCs w:val="22"/>
        </w:rPr>
        <w:t>BSE and NSE</w:t>
      </w:r>
    </w:p>
    <w:p w:rsidR="006A6CB3" w:rsidRPr="006A6CB3" w:rsidRDefault="006A6CB3" w:rsidP="006A6CB3">
      <w:pPr>
        <w:spacing w:line="276" w:lineRule="auto"/>
        <w:jc w:val="center"/>
        <w:rPr>
          <w:rFonts w:ascii="Garamond" w:eastAsia="Palatino Linotype" w:hAnsi="Garamond" w:cs="Palatino Linotype"/>
          <w:b/>
        </w:rPr>
      </w:pPr>
    </w:p>
    <w:p w:rsidR="00FC3F43" w:rsidRDefault="00FC3F43" w:rsidP="00FC3F43">
      <w:pPr>
        <w:pBdr>
          <w:between w:val="nil"/>
        </w:pBdr>
        <w:spacing w:line="276" w:lineRule="auto"/>
        <w:ind w:left="720" w:hanging="720"/>
        <w:jc w:val="center"/>
        <w:rPr>
          <w:rFonts w:ascii="Garamond" w:eastAsia="Palatino Linotype" w:hAnsi="Garamond" w:cs="Palatino Linotype"/>
          <w:b/>
        </w:rPr>
      </w:pPr>
      <w:r w:rsidRPr="00C6045B">
        <w:rPr>
          <w:rFonts w:ascii="Garamond" w:eastAsia="Palatino Linotype" w:hAnsi="Garamond" w:cs="Palatino Linotype"/>
          <w:b/>
        </w:rPr>
        <w:t>Figure 2: Trends in Average Daily Turnover of NSE Equity and BSE Equity Cash Segment</w:t>
      </w:r>
    </w:p>
    <w:p w:rsidR="00FC3F43" w:rsidRDefault="00DD1A9A" w:rsidP="00FC3F43">
      <w:pPr>
        <w:pBdr>
          <w:between w:val="nil"/>
        </w:pBdr>
        <w:spacing w:line="276" w:lineRule="auto"/>
        <w:ind w:left="720" w:hanging="720"/>
        <w:jc w:val="center"/>
        <w:rPr>
          <w:rFonts w:ascii="Garamond" w:eastAsia="Palatino Linotype" w:hAnsi="Garamond" w:cs="Palatino Linotype"/>
          <w:b/>
        </w:rPr>
      </w:pPr>
      <w:r w:rsidRPr="00FC3F43">
        <w:rPr>
          <w:noProof/>
          <w:lang w:val="en-IN" w:eastAsia="en-IN" w:bidi="hi-IN"/>
        </w:rPr>
        <w:drawing>
          <wp:inline distT="0" distB="0" distL="0" distR="0">
            <wp:extent cx="5728970" cy="294386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3F43" w:rsidRPr="00712DBE" w:rsidRDefault="00FC3F43" w:rsidP="00FC3F43">
      <w:pPr>
        <w:spacing w:line="276" w:lineRule="auto"/>
        <w:rPr>
          <w:rFonts w:ascii="Garamond" w:eastAsia="Palatino Linotype" w:hAnsi="Garamond" w:cs="Palatino Linotype"/>
          <w:bCs/>
          <w:i/>
          <w:iCs/>
          <w:sz w:val="22"/>
          <w:szCs w:val="22"/>
        </w:rPr>
      </w:pPr>
      <w:r w:rsidRPr="00712DBE">
        <w:rPr>
          <w:rFonts w:ascii="Garamond" w:eastAsia="Palatino Linotype" w:hAnsi="Garamond" w:cs="Palatino Linotype"/>
          <w:bCs/>
          <w:i/>
          <w:iCs/>
          <w:sz w:val="22"/>
          <w:szCs w:val="22"/>
        </w:rPr>
        <w:t xml:space="preserve">     Note: ADV implies Average Daily Values and ADT implies Average Daily Turnover</w:t>
      </w:r>
    </w:p>
    <w:p w:rsidR="00FC3F43" w:rsidRPr="00712DBE" w:rsidRDefault="00FC3F43" w:rsidP="00FC3F43">
      <w:pPr>
        <w:spacing w:line="276" w:lineRule="auto"/>
        <w:rPr>
          <w:rFonts w:ascii="Garamond" w:eastAsia="Palatino Linotype" w:hAnsi="Garamond" w:cs="Palatino Linotype"/>
          <w:bCs/>
          <w:sz w:val="22"/>
          <w:szCs w:val="22"/>
        </w:rPr>
      </w:pPr>
      <w:r w:rsidRPr="00712DBE">
        <w:rPr>
          <w:rFonts w:ascii="Garamond" w:eastAsia="Palatino Linotype" w:hAnsi="Garamond" w:cs="Palatino Linotype"/>
          <w:b/>
          <w:sz w:val="22"/>
          <w:szCs w:val="22"/>
        </w:rPr>
        <w:t xml:space="preserve">      Source: </w:t>
      </w:r>
      <w:r w:rsidRPr="00712DBE">
        <w:rPr>
          <w:rFonts w:ascii="Garamond" w:eastAsia="Palatino Linotype" w:hAnsi="Garamond" w:cs="Palatino Linotype"/>
          <w:bCs/>
          <w:sz w:val="22"/>
          <w:szCs w:val="22"/>
        </w:rPr>
        <w:t>BSE and NSE</w:t>
      </w:r>
    </w:p>
    <w:p w:rsidR="00FC3F43" w:rsidRPr="004A1B8E" w:rsidRDefault="00FC3F43" w:rsidP="00FC3F43">
      <w:pPr>
        <w:spacing w:line="276" w:lineRule="auto"/>
        <w:rPr>
          <w:rFonts w:ascii="Garamond" w:eastAsia="Palatino Linotype" w:hAnsi="Garamond" w:cs="Palatino Linotype"/>
          <w:b/>
          <w:sz w:val="20"/>
          <w:szCs w:val="20"/>
        </w:rPr>
      </w:pPr>
    </w:p>
    <w:p w:rsidR="00FC3F43" w:rsidRPr="004D480C" w:rsidRDefault="00FC3F43" w:rsidP="00FC3F43">
      <w:pPr>
        <w:numPr>
          <w:ilvl w:val="0"/>
          <w:numId w:val="1"/>
        </w:numPr>
        <w:ind w:left="714" w:hanging="357"/>
        <w:jc w:val="both"/>
        <w:rPr>
          <w:rFonts w:ascii="Garamond" w:eastAsia="Palatino Linotype" w:hAnsi="Garamond" w:cs="Palatino Linotype"/>
        </w:rPr>
      </w:pPr>
      <w:r w:rsidRPr="00BE0292">
        <w:rPr>
          <w:rFonts w:ascii="Garamond" w:eastAsia="Palatino Linotype" w:hAnsi="Garamond" w:cs="Palatino Linotype"/>
        </w:rPr>
        <w:t xml:space="preserve">The gross turnover in the equity cash segment rose by 0.9 per cent at BSE and fell by 8.0 per cent </w:t>
      </w:r>
      <w:r w:rsidRPr="004D480C">
        <w:rPr>
          <w:rFonts w:ascii="Garamond" w:eastAsia="Palatino Linotype" w:hAnsi="Garamond" w:cs="Palatino Linotype"/>
        </w:rPr>
        <w:t xml:space="preserve">at NSE in December 2021 over previous month. </w:t>
      </w:r>
    </w:p>
    <w:p w:rsidR="004D480C" w:rsidRPr="004D480C" w:rsidRDefault="004D480C" w:rsidP="004D480C">
      <w:pPr>
        <w:numPr>
          <w:ilvl w:val="0"/>
          <w:numId w:val="1"/>
        </w:numPr>
        <w:ind w:left="714" w:hanging="357"/>
        <w:jc w:val="both"/>
        <w:rPr>
          <w:rFonts w:ascii="Garamond" w:eastAsia="Palatino Linotype" w:hAnsi="Garamond" w:cs="Palatino Linotype"/>
        </w:rPr>
      </w:pPr>
      <w:r w:rsidRPr="004D480C">
        <w:rPr>
          <w:rFonts w:ascii="Garamond" w:eastAsia="Palatino Linotype" w:hAnsi="Garamond" w:cs="Palatino Linotype"/>
        </w:rPr>
        <w:t xml:space="preserve">Except BSE PSU and BSE Bank, all the selected BSE sectoral indices registered positive </w:t>
      </w:r>
      <w:r w:rsidRPr="004D480C">
        <w:rPr>
          <w:rFonts w:ascii="Garamond" w:eastAsia="Palatino Linotype" w:hAnsi="Garamond" w:cs="Palatino Linotype"/>
          <w:shd w:val="clear" w:color="auto" w:fill="FFFFFF" w:themeFill="background1"/>
        </w:rPr>
        <w:t>returns during the month. BSE Teck showed highest return (at 8.13) followed by BSE Capital Goods (at 6.49) and BSE metal (at 5.64) respectively. The average daily volatility and monthly returns for these select BSE indices for December 2021 are illustrated in Figure 3.</w:t>
      </w:r>
    </w:p>
    <w:p w:rsidR="004D480C" w:rsidRPr="004D480C" w:rsidRDefault="004D480C" w:rsidP="004D480C">
      <w:pPr>
        <w:spacing w:line="276" w:lineRule="auto"/>
        <w:jc w:val="center"/>
        <w:rPr>
          <w:rFonts w:ascii="Garamond" w:eastAsia="Palatino Linotype" w:hAnsi="Garamond" w:cs="Palatino Linotype"/>
          <w:b/>
          <w:strike/>
        </w:rPr>
      </w:pPr>
    </w:p>
    <w:p w:rsidR="004D480C" w:rsidRPr="004D480C" w:rsidRDefault="004D480C" w:rsidP="004D480C">
      <w:pPr>
        <w:spacing w:line="276" w:lineRule="auto"/>
        <w:jc w:val="center"/>
        <w:rPr>
          <w:rFonts w:ascii="Garamond" w:eastAsia="Palatino Linotype" w:hAnsi="Garamond" w:cs="Palatino Linotype"/>
          <w:b/>
        </w:rPr>
      </w:pPr>
      <w:r w:rsidRPr="004D480C">
        <w:rPr>
          <w:rFonts w:ascii="Garamond" w:eastAsia="Palatino Linotype" w:hAnsi="Garamond" w:cs="Palatino Linotype"/>
          <w:b/>
        </w:rPr>
        <w:t>Figure 3: Trends of BSE Sectoral Indices during December 2021 (per cent)</w:t>
      </w:r>
    </w:p>
    <w:p w:rsidR="004D480C" w:rsidRDefault="004D480C" w:rsidP="004D480C">
      <w:pPr>
        <w:spacing w:line="276" w:lineRule="auto"/>
        <w:jc w:val="center"/>
        <w:rPr>
          <w:rFonts w:ascii="Garamond" w:eastAsia="Palatino Linotype" w:hAnsi="Garamond" w:cs="Palatino Linotype"/>
          <w:b/>
          <w:highlight w:val="cyan"/>
        </w:rPr>
      </w:pPr>
      <w:r>
        <w:rPr>
          <w:noProof/>
          <w:lang w:val="en-IN" w:eastAsia="en-IN" w:bidi="hi-IN"/>
        </w:rPr>
        <w:drawing>
          <wp:inline distT="0" distB="0" distL="0" distR="0" wp14:anchorId="08BDCF03" wp14:editId="74BB6A46">
            <wp:extent cx="5759450" cy="2508250"/>
            <wp:effectExtent l="0" t="0" r="12700" b="6350"/>
            <wp:docPr id="22" name="Chart 2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480C" w:rsidRPr="00891713" w:rsidRDefault="004D480C" w:rsidP="004D480C">
      <w:pPr>
        <w:spacing w:line="276" w:lineRule="auto"/>
        <w:rPr>
          <w:rFonts w:ascii="Garamond" w:eastAsia="Palatino Linotype" w:hAnsi="Garamond" w:cs="Palatino Linotype"/>
          <w:b/>
        </w:rPr>
      </w:pPr>
      <w:r w:rsidRPr="004D480C">
        <w:rPr>
          <w:rFonts w:ascii="Garamond" w:eastAsia="Palatino Linotype" w:hAnsi="Garamond" w:cs="Palatino Linotype"/>
          <w:b/>
        </w:rPr>
        <w:t xml:space="preserve">       </w:t>
      </w:r>
      <w:r w:rsidRPr="004D480C">
        <w:rPr>
          <w:rFonts w:ascii="Garamond" w:eastAsia="Palatino Linotype" w:hAnsi="Garamond" w:cs="Palatino Linotype"/>
          <w:b/>
        </w:rPr>
        <w:tab/>
      </w:r>
      <w:r w:rsidRPr="004D480C">
        <w:rPr>
          <w:rFonts w:ascii="Garamond" w:eastAsia="Palatino Linotype" w:hAnsi="Garamond" w:cs="Palatino Linotype"/>
          <w:b/>
          <w:szCs w:val="22"/>
        </w:rPr>
        <w:t>Source:</w:t>
      </w:r>
      <w:r w:rsidRPr="004D480C">
        <w:rPr>
          <w:rFonts w:ascii="Garamond" w:eastAsia="Palatino Linotype" w:hAnsi="Garamond" w:cs="Palatino Linotype"/>
          <w:b/>
        </w:rPr>
        <w:t xml:space="preserve"> </w:t>
      </w:r>
      <w:r w:rsidRPr="004D480C">
        <w:rPr>
          <w:rFonts w:ascii="Garamond" w:eastAsia="Palatino Linotype" w:hAnsi="Garamond" w:cs="Palatino Linotype"/>
          <w:bCs/>
        </w:rPr>
        <w:t>Refinitiv</w:t>
      </w:r>
    </w:p>
    <w:p w:rsidR="004D480C" w:rsidRPr="00891713" w:rsidRDefault="004D480C" w:rsidP="004D480C">
      <w:pPr>
        <w:pBdr>
          <w:between w:val="nil"/>
        </w:pBdr>
        <w:spacing w:line="276" w:lineRule="auto"/>
        <w:ind w:left="709" w:hanging="720"/>
        <w:rPr>
          <w:rFonts w:ascii="Garamond" w:eastAsia="Palatino Linotype" w:hAnsi="Garamond" w:cs="Palatino Linotype"/>
          <w:b/>
          <w:color w:val="2E74B5"/>
        </w:rPr>
      </w:pPr>
    </w:p>
    <w:p w:rsidR="004D480C" w:rsidRPr="004D480C" w:rsidRDefault="004D480C" w:rsidP="004D480C">
      <w:pPr>
        <w:numPr>
          <w:ilvl w:val="0"/>
          <w:numId w:val="1"/>
        </w:numPr>
        <w:pBdr>
          <w:between w:val="nil"/>
        </w:pBdr>
        <w:jc w:val="both"/>
        <w:rPr>
          <w:rFonts w:ascii="Garamond" w:eastAsia="Palatino Linotype" w:hAnsi="Garamond" w:cs="Palatino Linotype"/>
        </w:rPr>
      </w:pPr>
      <w:r w:rsidRPr="004D480C">
        <w:rPr>
          <w:rFonts w:ascii="Garamond" w:eastAsia="Palatino Linotype" w:hAnsi="Garamond" w:cs="Palatino Linotype"/>
        </w:rPr>
        <w:t xml:space="preserve">NIFTY IT showed highest positive return (at 10.47) among the selected NSE Indices during December 2021. NIFTY Infra, NIFTY Bank, NIFTY Realty and NIFTY Energy all showed negative returns by small percentage. NIFTY PSU showed lowest returns at -1.16 per cent which is </w:t>
      </w:r>
      <w:r w:rsidRPr="004D480C">
        <w:rPr>
          <w:rFonts w:ascii="Garamond" w:eastAsia="Palatino Linotype" w:hAnsi="Garamond" w:cs="Palatino Linotype"/>
        </w:rPr>
        <w:lastRenderedPageBreak/>
        <w:t>actually better than previous month’s negative return of -9.4 per cent. The average daily volatility and monthly returns of these select NSE indices for December 2021 are illustrated in Figure 4.</w:t>
      </w:r>
    </w:p>
    <w:p w:rsidR="004D480C" w:rsidRPr="004D480C" w:rsidRDefault="004D480C" w:rsidP="004D480C">
      <w:pPr>
        <w:pBdr>
          <w:between w:val="nil"/>
        </w:pBdr>
        <w:spacing w:line="276" w:lineRule="auto"/>
        <w:jc w:val="center"/>
        <w:rPr>
          <w:rFonts w:ascii="Garamond" w:eastAsia="Palatino Linotype" w:hAnsi="Garamond" w:cs="Palatino Linotype"/>
          <w:b/>
          <w:color w:val="2E74B5"/>
        </w:rPr>
      </w:pPr>
    </w:p>
    <w:p w:rsidR="004D480C" w:rsidRPr="004D480C" w:rsidRDefault="004D480C" w:rsidP="004D480C">
      <w:pPr>
        <w:pBdr>
          <w:between w:val="nil"/>
        </w:pBdr>
        <w:spacing w:line="276" w:lineRule="auto"/>
        <w:jc w:val="center"/>
        <w:rPr>
          <w:rFonts w:ascii="Garamond" w:eastAsia="Palatino Linotype" w:hAnsi="Garamond" w:cs="Palatino Linotype"/>
          <w:b/>
        </w:rPr>
      </w:pPr>
      <w:r w:rsidRPr="004D480C">
        <w:rPr>
          <w:rFonts w:ascii="Garamond" w:eastAsia="Palatino Linotype" w:hAnsi="Garamond" w:cs="Palatino Linotype"/>
          <w:b/>
        </w:rPr>
        <w:t>Figure 4: Trends of NSE Sectoral Indices during December 2021 (per cent)</w:t>
      </w:r>
    </w:p>
    <w:p w:rsidR="004D480C" w:rsidRDefault="004D480C" w:rsidP="004D480C">
      <w:pPr>
        <w:pBdr>
          <w:between w:val="nil"/>
        </w:pBdr>
        <w:spacing w:line="276" w:lineRule="auto"/>
        <w:jc w:val="center"/>
        <w:rPr>
          <w:rFonts w:ascii="Garamond" w:eastAsia="Palatino Linotype" w:hAnsi="Garamond" w:cs="Palatino Linotype"/>
          <w:b/>
          <w:highlight w:val="cyan"/>
        </w:rPr>
      </w:pPr>
      <w:r>
        <w:rPr>
          <w:noProof/>
          <w:lang w:val="en-IN" w:eastAsia="en-IN" w:bidi="hi-IN"/>
        </w:rPr>
        <w:drawing>
          <wp:inline distT="0" distB="0" distL="0" distR="0" wp14:anchorId="54E8E482" wp14:editId="05932A6B">
            <wp:extent cx="5705475" cy="2676525"/>
            <wp:effectExtent l="0" t="0" r="9525" b="9525"/>
            <wp:docPr id="23" name="Chart 2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480C" w:rsidRDefault="004D480C" w:rsidP="004D480C">
      <w:pPr>
        <w:tabs>
          <w:tab w:val="left" w:pos="4005"/>
        </w:tabs>
        <w:ind w:left="567"/>
        <w:rPr>
          <w:rFonts w:ascii="Garamond" w:eastAsia="Palatino Linotype" w:hAnsi="Garamond" w:cs="Palatino Linotype"/>
          <w:bCs/>
          <w:szCs w:val="22"/>
        </w:rPr>
      </w:pPr>
      <w:r w:rsidRPr="004D480C">
        <w:rPr>
          <w:rFonts w:ascii="Garamond" w:eastAsia="Palatino Linotype" w:hAnsi="Garamond" w:cs="Palatino Linotype"/>
          <w:b/>
          <w:szCs w:val="22"/>
        </w:rPr>
        <w:t xml:space="preserve">Source: </w:t>
      </w:r>
      <w:r w:rsidRPr="004D480C">
        <w:rPr>
          <w:rFonts w:ascii="Garamond" w:eastAsia="Palatino Linotype" w:hAnsi="Garamond" w:cs="Palatino Linotype"/>
          <w:bCs/>
          <w:szCs w:val="22"/>
        </w:rPr>
        <w:t>Refinitiv</w:t>
      </w:r>
    </w:p>
    <w:p w:rsidR="006A6CB3" w:rsidRDefault="006A6CB3" w:rsidP="006A6CB3">
      <w:pPr>
        <w:pBdr>
          <w:top w:val="nil"/>
          <w:left w:val="nil"/>
          <w:bottom w:val="nil"/>
          <w:right w:val="nil"/>
          <w:between w:val="nil"/>
        </w:pBdr>
        <w:spacing w:line="276" w:lineRule="auto"/>
        <w:rPr>
          <w:rFonts w:ascii="Garamond" w:eastAsia="Palatino Linotype" w:hAnsi="Garamond" w:cs="Palatino Linotype"/>
          <w:b/>
        </w:rPr>
      </w:pPr>
    </w:p>
    <w:p w:rsidR="00087232" w:rsidRPr="006A6CB3" w:rsidRDefault="00087232" w:rsidP="006A6CB3">
      <w:pPr>
        <w:pBdr>
          <w:top w:val="nil"/>
          <w:left w:val="nil"/>
          <w:bottom w:val="nil"/>
          <w:right w:val="nil"/>
          <w:between w:val="nil"/>
        </w:pBdr>
        <w:spacing w:line="276" w:lineRule="auto"/>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567" w:hanging="567"/>
        <w:rPr>
          <w:rFonts w:ascii="Garamond" w:eastAsia="Palatino Linotype" w:hAnsi="Garamond" w:cs="Palatino Linotype"/>
          <w:b/>
        </w:rPr>
      </w:pPr>
      <w:r w:rsidRPr="006A6CB3">
        <w:rPr>
          <w:rFonts w:ascii="Garamond" w:eastAsia="Palatino Linotype" w:hAnsi="Garamond" w:cs="Palatino Linotype"/>
          <w:b/>
        </w:rPr>
        <w:t xml:space="preserve">Trends in Depository Accounts </w:t>
      </w:r>
    </w:p>
    <w:p w:rsidR="00E545F9" w:rsidRPr="00891713" w:rsidRDefault="00E545F9" w:rsidP="00E545F9">
      <w:pPr>
        <w:numPr>
          <w:ilvl w:val="0"/>
          <w:numId w:val="2"/>
        </w:numPr>
        <w:pBdr>
          <w:between w:val="nil"/>
        </w:pBdr>
        <w:spacing w:line="360" w:lineRule="auto"/>
        <w:jc w:val="both"/>
        <w:rPr>
          <w:rFonts w:ascii="Garamond" w:eastAsia="Palatino Linotype" w:hAnsi="Garamond" w:cs="Palatino Linotype"/>
        </w:rPr>
      </w:pPr>
      <w:r w:rsidRPr="00891713">
        <w:rPr>
          <w:rFonts w:ascii="Garamond" w:eastAsia="Palatino Linotype" w:hAnsi="Garamond" w:cs="Palatino Linotype"/>
        </w:rPr>
        <w:t xml:space="preserve">During </w:t>
      </w:r>
      <w:r>
        <w:rPr>
          <w:rFonts w:ascii="Garamond" w:eastAsia="Palatino Linotype" w:hAnsi="Garamond" w:cs="Palatino Linotype"/>
        </w:rPr>
        <w:t xml:space="preserve">December </w:t>
      </w:r>
      <w:r w:rsidRPr="00891713">
        <w:rPr>
          <w:rFonts w:ascii="Garamond" w:eastAsia="Palatino Linotype" w:hAnsi="Garamond" w:cs="Palatino Linotype"/>
        </w:rPr>
        <w:t>2021, NSDL added 4 lakh demat accounts while CDSL added 3</w:t>
      </w:r>
      <w:r>
        <w:rPr>
          <w:rFonts w:ascii="Garamond" w:eastAsia="Palatino Linotype" w:hAnsi="Garamond" w:cs="Palatino Linotype"/>
        </w:rPr>
        <w:t>0</w:t>
      </w:r>
      <w:r w:rsidRPr="00891713">
        <w:rPr>
          <w:rFonts w:ascii="Garamond" w:eastAsia="Palatino Linotype" w:hAnsi="Garamond" w:cs="Palatino Linotype"/>
        </w:rPr>
        <w:t xml:space="preserve"> lakh demat accounts. Cumulatively, both the depositories have added </w:t>
      </w:r>
      <w:r>
        <w:rPr>
          <w:rFonts w:ascii="Garamond" w:eastAsia="Palatino Linotype" w:hAnsi="Garamond" w:cs="Palatino Linotype"/>
        </w:rPr>
        <w:t>255</w:t>
      </w:r>
      <w:r w:rsidRPr="00891713">
        <w:rPr>
          <w:rFonts w:ascii="Garamond" w:eastAsia="Palatino Linotype" w:hAnsi="Garamond" w:cs="Palatino Linotype"/>
        </w:rPr>
        <w:t xml:space="preserve"> lakh new accounts in this fiscal year so far (April-</w:t>
      </w:r>
      <w:r>
        <w:rPr>
          <w:rFonts w:ascii="Garamond" w:eastAsia="Palatino Linotype" w:hAnsi="Garamond" w:cs="Palatino Linotype"/>
        </w:rPr>
        <w:t>December</w:t>
      </w:r>
      <w:r w:rsidRPr="00891713">
        <w:rPr>
          <w:rFonts w:ascii="Garamond" w:eastAsia="Palatino Linotype" w:hAnsi="Garamond" w:cs="Palatino Linotype"/>
        </w:rPr>
        <w:t xml:space="preserve"> 2021), with CDSL itself accounting for </w:t>
      </w:r>
      <w:r>
        <w:rPr>
          <w:rFonts w:ascii="Garamond" w:eastAsia="Palatino Linotype" w:hAnsi="Garamond" w:cs="Palatino Linotype"/>
        </w:rPr>
        <w:t>222</w:t>
      </w:r>
      <w:r w:rsidRPr="00891713">
        <w:rPr>
          <w:rFonts w:ascii="Garamond" w:eastAsia="Palatino Linotype" w:hAnsi="Garamond" w:cs="Palatino Linotype"/>
        </w:rPr>
        <w:t xml:space="preserve"> lakh new demat accounts.</w:t>
      </w:r>
    </w:p>
    <w:p w:rsidR="00E545F9" w:rsidRDefault="00E545F9" w:rsidP="00E545F9">
      <w:pPr>
        <w:pBdr>
          <w:between w:val="nil"/>
        </w:pBdr>
        <w:ind w:left="714"/>
        <w:jc w:val="both"/>
        <w:rPr>
          <w:rFonts w:ascii="Garamond" w:eastAsia="Palatino Linotype" w:hAnsi="Garamond" w:cs="Palatino Linotype"/>
        </w:rPr>
      </w:pPr>
    </w:p>
    <w:p w:rsidR="00E545F9" w:rsidRDefault="00E545F9" w:rsidP="00E545F9">
      <w:pPr>
        <w:pBdr>
          <w:between w:val="nil"/>
        </w:pBdr>
        <w:spacing w:line="276" w:lineRule="auto"/>
        <w:ind w:left="720"/>
        <w:jc w:val="both"/>
        <w:rPr>
          <w:rFonts w:ascii="Garamond" w:eastAsia="Palatino Linotype" w:hAnsi="Garamond" w:cs="Palatino Linotype"/>
          <w:b/>
          <w:bCs/>
        </w:rPr>
      </w:pPr>
      <w:r w:rsidRPr="00891713">
        <w:rPr>
          <w:rFonts w:ascii="Garamond" w:eastAsia="Palatino Linotype" w:hAnsi="Garamond" w:cs="Palatino Linotype"/>
          <w:b/>
          <w:bCs/>
        </w:rPr>
        <w:t xml:space="preserve">Figure </w:t>
      </w:r>
      <w:r>
        <w:rPr>
          <w:rFonts w:ascii="Garamond" w:eastAsia="Palatino Linotype" w:hAnsi="Garamond" w:cs="Palatino Linotype"/>
          <w:b/>
          <w:bCs/>
        </w:rPr>
        <w:t>5</w:t>
      </w:r>
      <w:r w:rsidRPr="00891713">
        <w:rPr>
          <w:rFonts w:ascii="Garamond" w:eastAsia="Palatino Linotype" w:hAnsi="Garamond" w:cs="Palatino Linotype"/>
          <w:b/>
          <w:bCs/>
        </w:rPr>
        <w:t>: Monthly New Demat Accounts Added (in lakh)</w:t>
      </w:r>
    </w:p>
    <w:p w:rsidR="00E545F9" w:rsidRDefault="00DD1A9A" w:rsidP="00E363E2">
      <w:pPr>
        <w:pBdr>
          <w:between w:val="nil"/>
        </w:pBdr>
        <w:spacing w:line="276" w:lineRule="auto"/>
        <w:jc w:val="center"/>
        <w:rPr>
          <w:noProof/>
          <w:lang w:eastAsia="en-IN"/>
        </w:rPr>
      </w:pPr>
      <w:r w:rsidRPr="0027682F">
        <w:rPr>
          <w:noProof/>
          <w:lang w:val="en-IN" w:eastAsia="en-IN" w:bidi="hi-IN"/>
        </w:rPr>
        <w:drawing>
          <wp:inline distT="0" distB="0" distL="0" distR="0">
            <wp:extent cx="5728970" cy="212407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45F9" w:rsidRPr="00346D49" w:rsidRDefault="00E545F9" w:rsidP="00E545F9">
      <w:pPr>
        <w:pBdr>
          <w:between w:val="nil"/>
        </w:pBdr>
        <w:spacing w:line="276" w:lineRule="auto"/>
        <w:rPr>
          <w:rFonts w:ascii="Garamond" w:eastAsia="Palatino Linotype" w:hAnsi="Garamond" w:cs="Palatino Linotype"/>
          <w:b/>
          <w:bCs/>
        </w:rPr>
      </w:pP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NSDL and CDSL</w:t>
      </w:r>
    </w:p>
    <w:p w:rsidR="006A6CB3" w:rsidRPr="006A6CB3" w:rsidRDefault="006A6CB3" w:rsidP="006A6CB3">
      <w:pPr>
        <w:pBdr>
          <w:top w:val="nil"/>
          <w:left w:val="nil"/>
          <w:bottom w:val="nil"/>
          <w:right w:val="nil"/>
          <w:between w:val="nil"/>
        </w:pBdr>
        <w:spacing w:line="276" w:lineRule="auto"/>
        <w:jc w:val="both"/>
        <w:rPr>
          <w:rFonts w:ascii="Garamond" w:eastAsia="Palatino Linotype" w:hAnsi="Garamond" w:cs="Palatino Linotype"/>
          <w:i/>
          <w:iCs/>
        </w:rPr>
      </w:pP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Trends in Derivatives Segment</w:t>
      </w:r>
      <w:r w:rsidRPr="006A6CB3">
        <w:rPr>
          <w:rFonts w:ascii="Garamond" w:eastAsia="Palatino Linotype" w:hAnsi="Garamond" w:cs="Palatino Linotype"/>
          <w:b/>
        </w:rPr>
        <w:tab/>
      </w:r>
    </w:p>
    <w:p w:rsidR="006A6CB3" w:rsidRPr="006A6CB3" w:rsidRDefault="006A6CB3" w:rsidP="006A6CB3">
      <w:pPr>
        <w:widowControl w:val="0"/>
        <w:numPr>
          <w:ilvl w:val="0"/>
          <w:numId w:val="3"/>
        </w:numPr>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Equity Derivatives</w:t>
      </w:r>
    </w:p>
    <w:p w:rsidR="006A6CB3" w:rsidRPr="006A6CB3" w:rsidRDefault="006A6CB3" w:rsidP="006A6CB3">
      <w:pPr>
        <w:tabs>
          <w:tab w:val="left" w:pos="3135"/>
        </w:tabs>
        <w:spacing w:line="276" w:lineRule="auto"/>
        <w:rPr>
          <w:rFonts w:ascii="Garamond" w:eastAsia="Palatino Linotype" w:hAnsi="Garamond" w:cs="Palatino Linotype"/>
          <w:b/>
          <w:u w:val="single"/>
        </w:rPr>
      </w:pPr>
      <w:r w:rsidRPr="006A6CB3">
        <w:rPr>
          <w:rFonts w:ascii="Garamond" w:eastAsia="Palatino Linotype" w:hAnsi="Garamond" w:cs="Palatino Linotype"/>
          <w:b/>
          <w:u w:val="single"/>
        </w:rPr>
        <w:t xml:space="preserve">BSE </w:t>
      </w:r>
    </w:p>
    <w:p w:rsidR="00FC3F43" w:rsidRPr="00BE0292" w:rsidRDefault="00FC3F43" w:rsidP="00E363E2">
      <w:pPr>
        <w:numPr>
          <w:ilvl w:val="0"/>
          <w:numId w:val="1"/>
        </w:numPr>
        <w:pBdr>
          <w:between w:val="nil"/>
        </w:pBdr>
        <w:spacing w:line="276" w:lineRule="auto"/>
        <w:ind w:left="714" w:hanging="357"/>
        <w:jc w:val="both"/>
        <w:rPr>
          <w:rFonts w:ascii="Garamond" w:eastAsia="Palatino Linotype" w:hAnsi="Garamond" w:cs="Palatino Linotype"/>
        </w:rPr>
      </w:pPr>
      <w:r w:rsidRPr="00BE0292">
        <w:rPr>
          <w:rFonts w:ascii="Garamond" w:eastAsia="Palatino Linotype" w:hAnsi="Garamond" w:cs="Palatino Linotype"/>
        </w:rPr>
        <w:t xml:space="preserve">During December 2021, the cumulative notional turnover of the equity derivatives segment at BSE increased by 16.3 per cent to </w:t>
      </w:r>
      <w:r w:rsidRPr="00BE0292">
        <w:rPr>
          <w:rFonts w:ascii="Times New Roman" w:eastAsia="Palatino Linotype" w:hAnsi="Times New Roman"/>
        </w:rPr>
        <w:t>₹</w:t>
      </w:r>
      <w:r w:rsidRPr="00BE0292">
        <w:rPr>
          <w:rFonts w:ascii="Garamond" w:eastAsia="Palatino Linotype" w:hAnsi="Garamond" w:cs="Palatino Linotype"/>
        </w:rPr>
        <w:t>59.23 lakh crore.</w:t>
      </w:r>
    </w:p>
    <w:p w:rsidR="00FC3F43" w:rsidRPr="00BE0292" w:rsidRDefault="00FC3F43" w:rsidP="00E363E2">
      <w:pPr>
        <w:numPr>
          <w:ilvl w:val="0"/>
          <w:numId w:val="1"/>
        </w:numPr>
        <w:pBdr>
          <w:between w:val="nil"/>
        </w:pBdr>
        <w:spacing w:line="276" w:lineRule="auto"/>
        <w:ind w:left="714" w:hanging="357"/>
        <w:jc w:val="both"/>
        <w:rPr>
          <w:rFonts w:ascii="Garamond" w:eastAsia="Palatino Linotype" w:hAnsi="Garamond" w:cs="Palatino Linotype"/>
        </w:rPr>
      </w:pPr>
      <w:r w:rsidRPr="00BE0292">
        <w:rPr>
          <w:rFonts w:ascii="Garamond" w:eastAsia="Palatino Linotype" w:hAnsi="Garamond" w:cs="Palatino Linotype"/>
        </w:rPr>
        <w:lastRenderedPageBreak/>
        <w:t xml:space="preserve">As at the end of December 2021, the open interest in terms of value at BSE stood at </w:t>
      </w:r>
      <w:r w:rsidRPr="00BE0292">
        <w:rPr>
          <w:rFonts w:ascii="Times New Roman" w:eastAsia="Palatino Linotype" w:hAnsi="Times New Roman"/>
        </w:rPr>
        <w:t>₹</w:t>
      </w:r>
      <w:r w:rsidRPr="00BE0292">
        <w:rPr>
          <w:rFonts w:ascii="Garamond" w:eastAsia="Palatino Linotype" w:hAnsi="Garamond" w:cs="Palatino Linotype"/>
        </w:rPr>
        <w:t xml:space="preserve">42.85 crore decreasing from </w:t>
      </w:r>
      <w:r w:rsidRPr="00BE0292">
        <w:rPr>
          <w:rFonts w:ascii="Times New Roman" w:eastAsia="Palatino Linotype" w:hAnsi="Times New Roman"/>
        </w:rPr>
        <w:t>₹</w:t>
      </w:r>
      <w:r w:rsidRPr="00BE0292">
        <w:rPr>
          <w:rFonts w:ascii="Garamond" w:eastAsia="Palatino Linotype" w:hAnsi="Garamond" w:cs="Palatino Linotype"/>
        </w:rPr>
        <w:t>76.30 crore as at the end of November 2021.</w:t>
      </w:r>
    </w:p>
    <w:p w:rsidR="00FC3F43" w:rsidRPr="00BE0292" w:rsidRDefault="00FC3F43" w:rsidP="00FC3F43">
      <w:pPr>
        <w:pBdr>
          <w:between w:val="nil"/>
        </w:pBdr>
        <w:ind w:left="714"/>
        <w:jc w:val="both"/>
        <w:rPr>
          <w:rFonts w:ascii="Garamond" w:eastAsia="Palatino Linotype" w:hAnsi="Garamond" w:cs="Palatino Linotype"/>
        </w:rPr>
      </w:pPr>
    </w:p>
    <w:p w:rsidR="00FC3F43" w:rsidRPr="00BE0292" w:rsidRDefault="00FC3F43" w:rsidP="00FC3F43">
      <w:pPr>
        <w:tabs>
          <w:tab w:val="left" w:pos="3135"/>
        </w:tabs>
        <w:spacing w:line="276" w:lineRule="auto"/>
        <w:rPr>
          <w:rFonts w:ascii="Garamond" w:eastAsia="Palatino Linotype" w:hAnsi="Garamond" w:cs="Palatino Linotype"/>
          <w:b/>
          <w:u w:val="single"/>
        </w:rPr>
      </w:pPr>
      <w:r w:rsidRPr="00BE0292">
        <w:rPr>
          <w:rFonts w:ascii="Garamond" w:eastAsia="Palatino Linotype" w:hAnsi="Garamond" w:cs="Palatino Linotype"/>
          <w:b/>
          <w:u w:val="single"/>
        </w:rPr>
        <w:t xml:space="preserve">NSE </w:t>
      </w:r>
    </w:p>
    <w:p w:rsidR="00FC3F43" w:rsidRPr="00BE0292" w:rsidRDefault="00FC3F43" w:rsidP="00E363E2">
      <w:pPr>
        <w:widowControl w:val="0"/>
        <w:numPr>
          <w:ilvl w:val="0"/>
          <w:numId w:val="1"/>
        </w:numPr>
        <w:spacing w:line="276" w:lineRule="auto"/>
        <w:ind w:left="714" w:hanging="357"/>
        <w:jc w:val="both"/>
        <w:rPr>
          <w:rFonts w:ascii="Garamond" w:eastAsia="Palatino Linotype" w:hAnsi="Garamond" w:cs="Palatino Linotype"/>
        </w:rPr>
      </w:pPr>
      <w:r w:rsidRPr="00BE0292">
        <w:rPr>
          <w:rFonts w:ascii="Garamond" w:eastAsia="Palatino Linotype" w:hAnsi="Garamond" w:cs="Palatino Linotype"/>
        </w:rPr>
        <w:t xml:space="preserve">The monthly notional turnover in the equity derivatives segment at NSE increased by 18.8 per cent to </w:t>
      </w:r>
      <w:r w:rsidRPr="00BE0292">
        <w:rPr>
          <w:rFonts w:ascii="Times New Roman" w:eastAsia="Palatino Linotype" w:hAnsi="Times New Roman"/>
        </w:rPr>
        <w:t>₹</w:t>
      </w:r>
      <w:r w:rsidRPr="00BE0292">
        <w:rPr>
          <w:rFonts w:ascii="Garamond" w:eastAsia="Palatino Linotype" w:hAnsi="Garamond" w:cs="Palatino Linotype"/>
        </w:rPr>
        <w:t xml:space="preserve">1,737 lakh crore in December 2021 from </w:t>
      </w:r>
      <w:r w:rsidRPr="00BE0292">
        <w:rPr>
          <w:rFonts w:ascii="Times New Roman" w:eastAsia="Palatino Linotype" w:hAnsi="Times New Roman"/>
        </w:rPr>
        <w:t>₹</w:t>
      </w:r>
      <w:r w:rsidRPr="00BE0292">
        <w:rPr>
          <w:rFonts w:ascii="Garamond" w:eastAsia="Palatino Linotype" w:hAnsi="Garamond" w:cs="Palatino Linotype"/>
        </w:rPr>
        <w:t xml:space="preserve">1,462 lakh crore in November 2021. </w:t>
      </w:r>
    </w:p>
    <w:p w:rsidR="00FC3F43" w:rsidRPr="00BE0292" w:rsidRDefault="00FC3F43" w:rsidP="00E363E2">
      <w:pPr>
        <w:widowControl w:val="0"/>
        <w:numPr>
          <w:ilvl w:val="0"/>
          <w:numId w:val="1"/>
        </w:numPr>
        <w:spacing w:line="276" w:lineRule="auto"/>
        <w:ind w:left="714" w:hanging="357"/>
        <w:jc w:val="both"/>
        <w:rPr>
          <w:rFonts w:ascii="Garamond" w:eastAsia="Palatino Linotype" w:hAnsi="Garamond" w:cs="Palatino Linotype"/>
        </w:rPr>
      </w:pPr>
      <w:r w:rsidRPr="00BE0292">
        <w:rPr>
          <w:rFonts w:ascii="Garamond" w:eastAsia="Palatino Linotype" w:hAnsi="Garamond" w:cs="Palatino Linotype"/>
        </w:rPr>
        <w:t xml:space="preserve">At the end of December 2021, the open interest in terms of value at NSE stood at </w:t>
      </w:r>
      <w:r w:rsidRPr="00BE0292">
        <w:rPr>
          <w:rFonts w:ascii="Times New Roman" w:eastAsia="Palatino Linotype" w:hAnsi="Times New Roman"/>
        </w:rPr>
        <w:t>₹</w:t>
      </w:r>
      <w:r w:rsidRPr="00BE0292">
        <w:rPr>
          <w:rFonts w:ascii="Garamond" w:eastAsia="Palatino Linotype" w:hAnsi="Garamond" w:cs="Palatino Linotype"/>
        </w:rPr>
        <w:t xml:space="preserve"> 6,62,852 crore showing a fall of 21.5 per cent from </w:t>
      </w:r>
      <w:r w:rsidRPr="00BE0292">
        <w:rPr>
          <w:rFonts w:ascii="Times New Roman" w:eastAsia="Palatino Linotype" w:hAnsi="Times New Roman"/>
        </w:rPr>
        <w:t>₹</w:t>
      </w:r>
      <w:r w:rsidRPr="00BE0292">
        <w:rPr>
          <w:rFonts w:ascii="Garamond" w:eastAsia="Palatino Linotype" w:hAnsi="Garamond" w:cs="Palatino Linotype"/>
        </w:rPr>
        <w:t xml:space="preserve"> 8,44,429 crore in November 2021.</w:t>
      </w:r>
    </w:p>
    <w:p w:rsidR="00FC3F43" w:rsidRPr="00BE0292" w:rsidRDefault="00FC3F43" w:rsidP="00FC3F43">
      <w:pPr>
        <w:widowControl w:val="0"/>
        <w:spacing w:line="276" w:lineRule="auto"/>
        <w:jc w:val="both"/>
        <w:rPr>
          <w:rFonts w:ascii="Garamond" w:eastAsia="Palatino Linotype" w:hAnsi="Garamond" w:cs="Palatino Linotype"/>
          <w:b/>
        </w:rPr>
      </w:pPr>
    </w:p>
    <w:p w:rsidR="00FC3F43" w:rsidRPr="00BE0292" w:rsidRDefault="00FC3F43" w:rsidP="00FC3F43">
      <w:pPr>
        <w:pBdr>
          <w:between w:val="nil"/>
        </w:pBdr>
        <w:rPr>
          <w:rFonts w:ascii="Garamond" w:eastAsia="Palatino Linotype" w:hAnsi="Garamond" w:cs="Palatino Linotype"/>
          <w:b/>
        </w:rPr>
      </w:pPr>
      <w:r w:rsidRPr="00BE0292">
        <w:rPr>
          <w:rFonts w:ascii="Garamond" w:eastAsia="Palatino Linotype" w:hAnsi="Garamond" w:cs="Palatino Linotype"/>
          <w:b/>
        </w:rPr>
        <w:t>Figure 6: Trends of Average Daily Notional Turnover at BSE and NSE (</w:t>
      </w:r>
      <w:r w:rsidRPr="00BE0292">
        <w:rPr>
          <w:rFonts w:ascii="Times New Roman" w:eastAsia="Palatino Linotype" w:hAnsi="Times New Roman"/>
          <w:b/>
        </w:rPr>
        <w:t>₹</w:t>
      </w:r>
      <w:r w:rsidRPr="00BE0292">
        <w:rPr>
          <w:rFonts w:ascii="Garamond" w:eastAsia="Palatino Linotype" w:hAnsi="Garamond" w:cs="Palatino Linotype"/>
          <w:b/>
        </w:rPr>
        <w:t xml:space="preserve"> crore)</w:t>
      </w:r>
    </w:p>
    <w:p w:rsidR="00FC3F43" w:rsidRPr="00BE0292" w:rsidRDefault="00DD1A9A" w:rsidP="004D480C">
      <w:pPr>
        <w:pBdr>
          <w:between w:val="nil"/>
        </w:pBdr>
        <w:jc w:val="center"/>
        <w:rPr>
          <w:rFonts w:ascii="Garamond" w:eastAsia="Palatino Linotype" w:hAnsi="Garamond" w:cs="Palatino Linotype"/>
          <w:b/>
        </w:rPr>
      </w:pPr>
      <w:r w:rsidRPr="00BE0292">
        <w:rPr>
          <w:noProof/>
          <w:lang w:val="en-IN" w:eastAsia="en-IN" w:bidi="hi-IN"/>
        </w:rPr>
        <w:drawing>
          <wp:inline distT="0" distB="0" distL="0" distR="0">
            <wp:extent cx="5721350" cy="2298700"/>
            <wp:effectExtent l="0" t="0" r="12700" b="635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F43" w:rsidRPr="00BE0292" w:rsidRDefault="00FC3F43" w:rsidP="00FC3F43">
      <w:pPr>
        <w:pBdr>
          <w:between w:val="nil"/>
        </w:pBdr>
        <w:rPr>
          <w:rFonts w:ascii="Garamond" w:eastAsia="Palatino Linotype" w:hAnsi="Garamond" w:cs="Palatino Linotype"/>
          <w:b/>
        </w:rPr>
      </w:pPr>
    </w:p>
    <w:p w:rsidR="00FC3F43" w:rsidRPr="00A9179C" w:rsidRDefault="00FC3F43" w:rsidP="00FC3F43">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Cs w:val="22"/>
        </w:rPr>
        <w:t xml:space="preserve"> </w:t>
      </w:r>
      <w:r w:rsidRPr="00A9179C">
        <w:rPr>
          <w:rFonts w:ascii="Garamond" w:eastAsia="Palatino Linotype" w:hAnsi="Garamond" w:cs="Palatino Linotype"/>
          <w:b/>
          <w:sz w:val="20"/>
          <w:szCs w:val="20"/>
        </w:rPr>
        <w:t xml:space="preserve">Note: </w:t>
      </w:r>
      <w:r w:rsidRPr="00A9179C">
        <w:rPr>
          <w:rFonts w:ascii="Garamond" w:eastAsia="Palatino Linotype" w:hAnsi="Garamond" w:cs="Palatino Linotype"/>
          <w:bCs/>
          <w:sz w:val="20"/>
          <w:szCs w:val="20"/>
        </w:rPr>
        <w:t>ADNT implies Average Daily Notional Turnover</w:t>
      </w:r>
    </w:p>
    <w:p w:rsidR="00FC3F43" w:rsidRPr="00A9179C" w:rsidRDefault="00FC3F43" w:rsidP="00FC3F43">
      <w:pPr>
        <w:spacing w:line="276" w:lineRule="auto"/>
        <w:rPr>
          <w:rFonts w:ascii="Garamond" w:eastAsia="Palatino Linotype" w:hAnsi="Garamond" w:cs="Palatino Linotype"/>
          <w:bCs/>
          <w:sz w:val="20"/>
          <w:szCs w:val="20"/>
        </w:rPr>
      </w:pPr>
      <w:r w:rsidRPr="00A9179C">
        <w:rPr>
          <w:rFonts w:ascii="Garamond" w:eastAsia="Palatino Linotype" w:hAnsi="Garamond" w:cs="Palatino Linotype"/>
          <w:b/>
          <w:sz w:val="20"/>
          <w:szCs w:val="20"/>
        </w:rPr>
        <w:t xml:space="preserve">Source: </w:t>
      </w:r>
      <w:r w:rsidRPr="00A9179C">
        <w:rPr>
          <w:rFonts w:ascii="Garamond" w:eastAsia="Palatino Linotype" w:hAnsi="Garamond" w:cs="Palatino Linotype"/>
          <w:bCs/>
          <w:sz w:val="20"/>
          <w:szCs w:val="20"/>
        </w:rPr>
        <w:t>BSE and NSE</w:t>
      </w:r>
    </w:p>
    <w:p w:rsidR="00FC3F43" w:rsidRPr="00BE0292" w:rsidRDefault="00FC3F43" w:rsidP="00FC3F43">
      <w:pPr>
        <w:spacing w:line="276" w:lineRule="auto"/>
        <w:rPr>
          <w:rFonts w:ascii="Garamond" w:eastAsia="Palatino Linotype" w:hAnsi="Garamond" w:cs="Palatino Linotype"/>
          <w:bCs/>
          <w:szCs w:val="22"/>
        </w:rPr>
      </w:pPr>
    </w:p>
    <w:p w:rsidR="00FC3F43" w:rsidRPr="00BE0292" w:rsidRDefault="00FC3F43" w:rsidP="00FC3F43">
      <w:pPr>
        <w:spacing w:line="276" w:lineRule="auto"/>
        <w:rPr>
          <w:rFonts w:ascii="Garamond" w:eastAsia="Palatino Linotype" w:hAnsi="Garamond" w:cs="Palatino Linotype"/>
          <w:b/>
          <w:szCs w:val="22"/>
        </w:rPr>
      </w:pPr>
      <w:r w:rsidRPr="00BE0292">
        <w:rPr>
          <w:rFonts w:ascii="Garamond" w:eastAsia="Palatino Linotype" w:hAnsi="Garamond" w:cs="Palatino Linotype"/>
          <w:b/>
          <w:szCs w:val="22"/>
        </w:rPr>
        <w:t>Table 3: Trends in Equity Derivatives Market</w:t>
      </w:r>
    </w:p>
    <w:tbl>
      <w:tblPr>
        <w:tblW w:w="10103" w:type="dxa"/>
        <w:jc w:val="center"/>
        <w:tblLook w:val="04A0" w:firstRow="1" w:lastRow="0" w:firstColumn="1" w:lastColumn="0" w:noHBand="0" w:noVBand="1"/>
      </w:tblPr>
      <w:tblGrid>
        <w:gridCol w:w="2148"/>
        <w:gridCol w:w="1414"/>
        <w:gridCol w:w="1414"/>
        <w:gridCol w:w="1265"/>
        <w:gridCol w:w="1298"/>
        <w:gridCol w:w="1298"/>
        <w:gridCol w:w="1266"/>
      </w:tblGrid>
      <w:tr w:rsidR="00FC3F43" w:rsidRPr="00BE0292" w:rsidTr="00174359">
        <w:trPr>
          <w:trHeight w:val="172"/>
          <w:jc w:val="center"/>
        </w:trPr>
        <w:tc>
          <w:tcPr>
            <w:tcW w:w="2148"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Description</w:t>
            </w:r>
          </w:p>
        </w:tc>
        <w:tc>
          <w:tcPr>
            <w:tcW w:w="4093"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NSE</w:t>
            </w:r>
          </w:p>
        </w:tc>
        <w:tc>
          <w:tcPr>
            <w:tcW w:w="3862"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BSE</w:t>
            </w:r>
          </w:p>
        </w:tc>
      </w:tr>
      <w:tr w:rsidR="00FC3F43" w:rsidRPr="00BE0292" w:rsidTr="00174359">
        <w:trPr>
          <w:trHeight w:val="172"/>
          <w:jc w:val="center"/>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p>
        </w:tc>
        <w:tc>
          <w:tcPr>
            <w:tcW w:w="1414" w:type="dxa"/>
            <w:tcBorders>
              <w:top w:val="nil"/>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Nov-21</w:t>
            </w:r>
          </w:p>
        </w:tc>
        <w:tc>
          <w:tcPr>
            <w:tcW w:w="1414" w:type="dxa"/>
            <w:tcBorders>
              <w:top w:val="nil"/>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Dec-21</w:t>
            </w:r>
          </w:p>
        </w:tc>
        <w:tc>
          <w:tcPr>
            <w:tcW w:w="1265" w:type="dxa"/>
            <w:tcBorders>
              <w:top w:val="nil"/>
              <w:left w:val="nil"/>
              <w:bottom w:val="single" w:sz="4" w:space="0" w:color="auto"/>
              <w:right w:val="single" w:sz="4" w:space="0" w:color="auto"/>
            </w:tcBorders>
            <w:shd w:val="clear" w:color="8DB3E2" w:fill="8DB3E2"/>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Percentage Change Over Month</w:t>
            </w:r>
          </w:p>
        </w:tc>
        <w:tc>
          <w:tcPr>
            <w:tcW w:w="1298" w:type="dxa"/>
            <w:tcBorders>
              <w:top w:val="nil"/>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Nov-21</w:t>
            </w:r>
          </w:p>
        </w:tc>
        <w:tc>
          <w:tcPr>
            <w:tcW w:w="1298" w:type="dxa"/>
            <w:tcBorders>
              <w:top w:val="nil"/>
              <w:left w:val="nil"/>
              <w:bottom w:val="single" w:sz="4" w:space="0" w:color="auto"/>
              <w:right w:val="single" w:sz="4" w:space="0" w:color="auto"/>
            </w:tcBorders>
            <w:shd w:val="clear" w:color="8DB3E2" w:fill="8DB3E2"/>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Dec-21</w:t>
            </w:r>
          </w:p>
        </w:tc>
        <w:tc>
          <w:tcPr>
            <w:tcW w:w="1266" w:type="dxa"/>
            <w:tcBorders>
              <w:top w:val="nil"/>
              <w:left w:val="nil"/>
              <w:bottom w:val="single" w:sz="4" w:space="0" w:color="auto"/>
              <w:right w:val="single" w:sz="4" w:space="0" w:color="auto"/>
            </w:tcBorders>
            <w:shd w:val="clear" w:color="8DB3E2" w:fill="8DB3E2"/>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Percentage Change Over Month</w:t>
            </w:r>
          </w:p>
        </w:tc>
      </w:tr>
      <w:tr w:rsidR="00FC3F43" w:rsidRPr="00BE0292" w:rsidTr="00174359">
        <w:trPr>
          <w:trHeight w:val="172"/>
          <w:jc w:val="center"/>
        </w:trPr>
        <w:tc>
          <w:tcPr>
            <w:tcW w:w="1010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A. Turnover  (</w:t>
            </w:r>
            <w:r w:rsidRPr="00BE0292">
              <w:rPr>
                <w:rFonts w:ascii="Times New Roman" w:eastAsia="Palatino Linotype" w:hAnsi="Times New Roman"/>
                <w:b/>
                <w:sz w:val="20"/>
                <w:szCs w:val="20"/>
              </w:rPr>
              <w:t>₹</w:t>
            </w:r>
            <w:r w:rsidRPr="00BE0292">
              <w:rPr>
                <w:rFonts w:ascii="Garamond" w:eastAsia="Palatino Linotype" w:hAnsi="Garamond" w:cs="Palatino Linotype"/>
                <w:b/>
                <w:bCs/>
                <w:sz w:val="20"/>
                <w:szCs w:val="20"/>
              </w:rPr>
              <w:t>crore)</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 Index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6,62,962</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7,45,600</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12.5</w:t>
            </w:r>
          </w:p>
        </w:tc>
        <w:tc>
          <w:tcPr>
            <w:tcW w:w="1298" w:type="dxa"/>
            <w:tcBorders>
              <w:top w:val="nil"/>
              <w:left w:val="nil"/>
              <w:bottom w:val="single" w:sz="8" w:space="0" w:color="000000"/>
              <w:right w:val="single" w:sz="8" w:space="0" w:color="000000"/>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4.43</w:t>
            </w:r>
          </w:p>
        </w:tc>
        <w:tc>
          <w:tcPr>
            <w:tcW w:w="1298" w:type="dxa"/>
            <w:tcBorders>
              <w:top w:val="nil"/>
              <w:left w:val="nil"/>
              <w:bottom w:val="single" w:sz="8" w:space="0" w:color="000000"/>
              <w:right w:val="single" w:sz="8" w:space="0" w:color="000000"/>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4.86</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9.7</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 Options on Index</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6,50,91,895</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8,00,21,896</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22.9</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4,41,432.53</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1,55,812.87</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-64.7</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7,42,22,976</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8,72,13,629</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17.5</w:t>
            </w:r>
          </w:p>
        </w:tc>
        <w:tc>
          <w:tcPr>
            <w:tcW w:w="1298" w:type="dxa"/>
            <w:tcBorders>
              <w:top w:val="nil"/>
              <w:left w:val="nil"/>
              <w:bottom w:val="single" w:sz="8" w:space="0" w:color="000000"/>
              <w:right w:val="single" w:sz="8" w:space="0" w:color="000000"/>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46,52,734.69</w:t>
            </w:r>
          </w:p>
        </w:tc>
        <w:tc>
          <w:tcPr>
            <w:tcW w:w="1298" w:type="dxa"/>
            <w:tcBorders>
              <w:top w:val="nil"/>
              <w:left w:val="nil"/>
              <w:bottom w:val="single" w:sz="8" w:space="0" w:color="000000"/>
              <w:right w:val="single" w:sz="8" w:space="0" w:color="000000"/>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57,66,763.32</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23.9</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(iii) Stock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17,68,557</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15,79,596</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-10.7</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(iv) Options on Stock</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12,59,011</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12,63,883</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0.4</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32,41,288</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28,95,799</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-10.7</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Total</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14,62,46,690</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17,37,20,403</w:t>
            </w:r>
          </w:p>
        </w:tc>
        <w:tc>
          <w:tcPr>
            <w:tcW w:w="1265"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18.8</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50,94,172</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59,22,581</w:t>
            </w:r>
          </w:p>
        </w:tc>
        <w:tc>
          <w:tcPr>
            <w:tcW w:w="1266"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16.3</w:t>
            </w:r>
          </w:p>
        </w:tc>
      </w:tr>
      <w:tr w:rsidR="00FC3F43" w:rsidRPr="00BE0292" w:rsidTr="00174359">
        <w:trPr>
          <w:trHeight w:val="172"/>
          <w:jc w:val="center"/>
        </w:trPr>
        <w:tc>
          <w:tcPr>
            <w:tcW w:w="1010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B. No. of Contracts</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 Index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72,58,451</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85,05,901</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17.2</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48</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54</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12.5</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 Options on Index</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70,97,55,310</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91,68,46,295</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29.2</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50,79,766</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18,60,404</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-63.4</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78,68,28,396</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97,16,82,590</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23.5</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4,66,23,270</w:t>
            </w:r>
          </w:p>
        </w:tc>
        <w:tc>
          <w:tcPr>
            <w:tcW w:w="1298" w:type="dxa"/>
            <w:tcBorders>
              <w:top w:val="nil"/>
              <w:left w:val="nil"/>
              <w:bottom w:val="single" w:sz="8" w:space="0" w:color="000000"/>
              <w:right w:val="single" w:sz="8" w:space="0" w:color="000000"/>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5,87,53,452</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26.0</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(iii) Stock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2,31,37,882</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2,17,68,924</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-5.9</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000000"/>
              <w:right w:val="single" w:sz="8" w:space="0" w:color="000000"/>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(iv) Options on Stock</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lastRenderedPageBreak/>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1,65,40,463</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1,75,63,643</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6.2</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3,94,51,734</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3,73,98,146</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-5.2</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Total</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1,58,29,72,236</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1,97,37,65,499</w:t>
            </w:r>
          </w:p>
        </w:tc>
        <w:tc>
          <w:tcPr>
            <w:tcW w:w="1265"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24.7</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5,17,03,084</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6,06,13,910</w:t>
            </w:r>
          </w:p>
        </w:tc>
        <w:tc>
          <w:tcPr>
            <w:tcW w:w="1266"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17.2</w:t>
            </w:r>
          </w:p>
        </w:tc>
      </w:tr>
      <w:tr w:rsidR="00FC3F43" w:rsidRPr="00BE0292" w:rsidTr="00174359">
        <w:trPr>
          <w:trHeight w:val="172"/>
          <w:jc w:val="center"/>
        </w:trPr>
        <w:tc>
          <w:tcPr>
            <w:tcW w:w="1010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C.  Open Interest in Terms of Value (</w:t>
            </w:r>
            <w:r w:rsidRPr="00BE0292">
              <w:rPr>
                <w:rFonts w:ascii="Times New Roman" w:eastAsia="Palatino Linotype" w:hAnsi="Times New Roman"/>
                <w:b/>
                <w:sz w:val="20"/>
                <w:szCs w:val="20"/>
              </w:rPr>
              <w:t>₹</w:t>
            </w:r>
            <w:r w:rsidRPr="00BE0292">
              <w:rPr>
                <w:rFonts w:ascii="Garamond" w:eastAsia="Palatino Linotype" w:hAnsi="Garamond" w:cs="Palatino Linotype"/>
                <w:b/>
                <w:bCs/>
                <w:sz w:val="20"/>
                <w:szCs w:val="20"/>
              </w:rPr>
              <w:t xml:space="preserve"> crore)</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 Index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30,121</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28,118</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-6.6</w:t>
            </w:r>
          </w:p>
        </w:tc>
        <w:tc>
          <w:tcPr>
            <w:tcW w:w="1298" w:type="dxa"/>
            <w:tcBorders>
              <w:top w:val="nil"/>
              <w:left w:val="nil"/>
              <w:bottom w:val="nil"/>
              <w:right w:val="single" w:sz="8" w:space="0" w:color="auto"/>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0.53</w:t>
            </w:r>
          </w:p>
        </w:tc>
        <w:tc>
          <w:tcPr>
            <w:tcW w:w="1298" w:type="dxa"/>
            <w:tcBorders>
              <w:top w:val="nil"/>
              <w:left w:val="nil"/>
              <w:bottom w:val="nil"/>
              <w:right w:val="single" w:sz="8" w:space="0" w:color="auto"/>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0.09</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-83.0</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 Options on Index</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2,29,726</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2,09,772</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-8.7</w:t>
            </w:r>
          </w:p>
        </w:tc>
        <w:tc>
          <w:tcPr>
            <w:tcW w:w="1298" w:type="dxa"/>
            <w:tcBorders>
              <w:top w:val="nil"/>
              <w:left w:val="nil"/>
              <w:bottom w:val="nil"/>
              <w:right w:val="nil"/>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23.06</w:t>
            </w:r>
          </w:p>
        </w:tc>
        <w:tc>
          <w:tcPr>
            <w:tcW w:w="1298" w:type="dxa"/>
            <w:tcBorders>
              <w:top w:val="nil"/>
              <w:left w:val="single" w:sz="8" w:space="0" w:color="auto"/>
              <w:bottom w:val="nil"/>
              <w:right w:val="nil"/>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5.91</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-74.4</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2,94,317</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1,68,189</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-42.9</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52.72</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36.85</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-30.1</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(iii) Stock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1,96,145</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1,86,957</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-4.7</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(iv) Options on Stock</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34,404</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27,332</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-20.6</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59,715</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42,484</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-28.9</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Total</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bookmarkStart w:id="1" w:name="_Hlk92935566"/>
            <w:r w:rsidRPr="00BE0292">
              <w:rPr>
                <w:rFonts w:ascii="Garamond" w:hAnsi="Garamond" w:cs="Calibri"/>
                <w:b/>
                <w:bCs/>
                <w:color w:val="000000"/>
                <w:sz w:val="20"/>
                <w:szCs w:val="20"/>
              </w:rPr>
              <w:t>8,44,429</w:t>
            </w:r>
            <w:bookmarkEnd w:id="1"/>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bookmarkStart w:id="2" w:name="_Hlk92935444"/>
            <w:r w:rsidRPr="00BE0292">
              <w:rPr>
                <w:rFonts w:ascii="Garamond" w:hAnsi="Garamond" w:cs="Calibri"/>
                <w:b/>
                <w:bCs/>
                <w:color w:val="000000"/>
                <w:sz w:val="20"/>
                <w:szCs w:val="20"/>
              </w:rPr>
              <w:t>6,62,852</w:t>
            </w:r>
            <w:bookmarkEnd w:id="2"/>
          </w:p>
        </w:tc>
        <w:tc>
          <w:tcPr>
            <w:tcW w:w="1265"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-21.5</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76.30</w:t>
            </w:r>
          </w:p>
        </w:tc>
        <w:tc>
          <w:tcPr>
            <w:tcW w:w="1298"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42.85</w:t>
            </w:r>
          </w:p>
        </w:tc>
        <w:tc>
          <w:tcPr>
            <w:tcW w:w="1266"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-43.8</w:t>
            </w:r>
          </w:p>
        </w:tc>
      </w:tr>
      <w:tr w:rsidR="00FC3F43" w:rsidRPr="00BE0292" w:rsidTr="00174359">
        <w:trPr>
          <w:trHeight w:val="172"/>
          <w:jc w:val="center"/>
        </w:trPr>
        <w:tc>
          <w:tcPr>
            <w:tcW w:w="1010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D.  Open Interest in Terms of No of Contracts</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 Index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3,49,130</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3,21,868</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-7.8</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-83.3</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 Options on Index</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26,63,799</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24,01,512</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-9.8</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259</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65</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-74.9</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33,98,619</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19,22,059</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-43.4</w:t>
            </w:r>
          </w:p>
        </w:tc>
        <w:tc>
          <w:tcPr>
            <w:tcW w:w="1298" w:type="dxa"/>
            <w:tcBorders>
              <w:top w:val="single" w:sz="8" w:space="0" w:color="auto"/>
              <w:left w:val="nil"/>
              <w:bottom w:val="nil"/>
              <w:right w:val="single" w:sz="8" w:space="0" w:color="auto"/>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592</w:t>
            </w:r>
          </w:p>
        </w:tc>
        <w:tc>
          <w:tcPr>
            <w:tcW w:w="1298" w:type="dxa"/>
            <w:tcBorders>
              <w:top w:val="single" w:sz="8" w:space="0" w:color="auto"/>
              <w:left w:val="nil"/>
              <w:bottom w:val="nil"/>
              <w:right w:val="single" w:sz="8" w:space="0" w:color="auto"/>
            </w:tcBorders>
            <w:shd w:val="clear" w:color="auto" w:fill="auto"/>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405</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-31.6</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(iii) Stock Futures</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27,93,366</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26,44,078</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-5.3</w:t>
            </w:r>
          </w:p>
        </w:tc>
        <w:tc>
          <w:tcPr>
            <w:tcW w:w="1298" w:type="dxa"/>
            <w:tcBorders>
              <w:top w:val="single" w:sz="8" w:space="0" w:color="auto"/>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single" w:sz="8" w:space="0" w:color="auto"/>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sz w:val="20"/>
                <w:szCs w:val="20"/>
              </w:rPr>
            </w:pPr>
            <w:r w:rsidRPr="00BE0292">
              <w:rPr>
                <w:rFonts w:ascii="Garamond" w:eastAsia="Palatino Linotype" w:hAnsi="Garamond" w:cs="Palatino Linotype"/>
                <w:b/>
                <w:sz w:val="20"/>
                <w:szCs w:val="20"/>
              </w:rPr>
              <w:t>(iv) Options on Stock</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98" w:type="dxa"/>
            <w:tcBorders>
              <w:top w:val="single" w:sz="8" w:space="0" w:color="auto"/>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Calibri" w:hAnsi="Calibri" w:cs="Calibri"/>
                <w:color w:val="000000"/>
                <w:sz w:val="22"/>
                <w:szCs w:val="22"/>
              </w:rPr>
              <w:t> </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 </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Put</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4,72,322</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3,83,670</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-18.8</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nil"/>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i/>
                <w:iCs/>
                <w:sz w:val="20"/>
                <w:szCs w:val="20"/>
              </w:rPr>
            </w:pPr>
            <w:r w:rsidRPr="00BE0292">
              <w:rPr>
                <w:rFonts w:ascii="Garamond" w:eastAsia="Palatino Linotype" w:hAnsi="Garamond" w:cs="Palatino Linotype"/>
                <w:b/>
                <w:i/>
                <w:iCs/>
                <w:sz w:val="20"/>
                <w:szCs w:val="20"/>
              </w:rPr>
              <w:t>Call</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8,27,452</w:t>
            </w:r>
          </w:p>
        </w:tc>
        <w:tc>
          <w:tcPr>
            <w:tcW w:w="1414"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5,96,089</w:t>
            </w:r>
          </w:p>
        </w:tc>
        <w:tc>
          <w:tcPr>
            <w:tcW w:w="1265"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-28.0</w:t>
            </w:r>
          </w:p>
        </w:tc>
        <w:tc>
          <w:tcPr>
            <w:tcW w:w="1298" w:type="dxa"/>
            <w:tcBorders>
              <w:top w:val="single" w:sz="8" w:space="0" w:color="auto"/>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98" w:type="dxa"/>
            <w:tcBorders>
              <w:top w:val="single" w:sz="8" w:space="0" w:color="auto"/>
              <w:left w:val="nil"/>
              <w:bottom w:val="nil"/>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0</w:t>
            </w:r>
          </w:p>
        </w:tc>
        <w:tc>
          <w:tcPr>
            <w:tcW w:w="1266" w:type="dxa"/>
            <w:tcBorders>
              <w:top w:val="nil"/>
              <w:left w:val="nil"/>
              <w:bottom w:val="single" w:sz="8" w:space="0" w:color="auto"/>
              <w:right w:val="single" w:sz="8" w:space="0" w:color="auto"/>
            </w:tcBorders>
            <w:shd w:val="clear" w:color="auto" w:fill="auto"/>
            <w:noWrap/>
            <w:vAlign w:val="center"/>
            <w:hideMark/>
          </w:tcPr>
          <w:p w:rsidR="00FC3F43" w:rsidRPr="00BE0292" w:rsidRDefault="00FC3F43" w:rsidP="00174359">
            <w:pPr>
              <w:spacing w:line="276" w:lineRule="auto"/>
              <w:jc w:val="center"/>
              <w:rPr>
                <w:rFonts w:ascii="Garamond" w:eastAsia="Palatino Linotype" w:hAnsi="Garamond" w:cs="Palatino Linotype"/>
                <w:bCs/>
                <w:sz w:val="20"/>
                <w:szCs w:val="20"/>
              </w:rPr>
            </w:pPr>
            <w:r w:rsidRPr="00BE0292">
              <w:rPr>
                <w:rFonts w:ascii="Garamond" w:hAnsi="Garamond" w:cs="Calibri"/>
                <w:color w:val="000000"/>
                <w:sz w:val="20"/>
                <w:szCs w:val="20"/>
              </w:rPr>
              <w:t>-</w:t>
            </w:r>
          </w:p>
        </w:tc>
      </w:tr>
      <w:tr w:rsidR="00FC3F43" w:rsidRPr="00BE0292" w:rsidTr="00174359">
        <w:trPr>
          <w:trHeight w:val="172"/>
          <w:jc w:val="center"/>
        </w:trPr>
        <w:tc>
          <w:tcPr>
            <w:tcW w:w="2148" w:type="dxa"/>
            <w:tcBorders>
              <w:top w:val="nil"/>
              <w:left w:val="single" w:sz="4" w:space="0" w:color="auto"/>
              <w:bottom w:val="single" w:sz="4" w:space="0" w:color="auto"/>
              <w:right w:val="single" w:sz="4" w:space="0" w:color="auto"/>
            </w:tcBorders>
            <w:shd w:val="clear" w:color="C6D9F0" w:fill="C6D9F0"/>
            <w:noWrap/>
            <w:vAlign w:val="center"/>
            <w:hideMark/>
          </w:tcPr>
          <w:p w:rsidR="00FC3F43" w:rsidRPr="00BE0292" w:rsidRDefault="00FC3F43" w:rsidP="00174359">
            <w:pPr>
              <w:spacing w:line="276" w:lineRule="auto"/>
              <w:rPr>
                <w:rFonts w:ascii="Garamond" w:eastAsia="Palatino Linotype" w:hAnsi="Garamond" w:cs="Palatino Linotype"/>
                <w:b/>
                <w:bCs/>
                <w:sz w:val="20"/>
                <w:szCs w:val="20"/>
              </w:rPr>
            </w:pPr>
            <w:r w:rsidRPr="00BE0292">
              <w:rPr>
                <w:rFonts w:ascii="Garamond" w:eastAsia="Palatino Linotype" w:hAnsi="Garamond" w:cs="Palatino Linotype"/>
                <w:b/>
                <w:bCs/>
                <w:sz w:val="20"/>
                <w:szCs w:val="20"/>
              </w:rPr>
              <w:t>Total</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1,05,04,688</w:t>
            </w:r>
          </w:p>
        </w:tc>
        <w:tc>
          <w:tcPr>
            <w:tcW w:w="1414"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82,69,276</w:t>
            </w:r>
          </w:p>
        </w:tc>
        <w:tc>
          <w:tcPr>
            <w:tcW w:w="1265"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-21.3</w:t>
            </w:r>
          </w:p>
        </w:tc>
        <w:tc>
          <w:tcPr>
            <w:tcW w:w="1298" w:type="dxa"/>
            <w:tcBorders>
              <w:top w:val="single" w:sz="8" w:space="0" w:color="auto"/>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857</w:t>
            </w:r>
          </w:p>
        </w:tc>
        <w:tc>
          <w:tcPr>
            <w:tcW w:w="1298" w:type="dxa"/>
            <w:tcBorders>
              <w:top w:val="single" w:sz="8" w:space="0" w:color="auto"/>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471</w:t>
            </w:r>
          </w:p>
        </w:tc>
        <w:tc>
          <w:tcPr>
            <w:tcW w:w="1266" w:type="dxa"/>
            <w:tcBorders>
              <w:top w:val="nil"/>
              <w:left w:val="nil"/>
              <w:bottom w:val="single" w:sz="8" w:space="0" w:color="auto"/>
              <w:right w:val="single" w:sz="8" w:space="0" w:color="auto"/>
            </w:tcBorders>
            <w:shd w:val="clear" w:color="000000" w:fill="C6D9F0"/>
            <w:noWrap/>
            <w:vAlign w:val="center"/>
            <w:hideMark/>
          </w:tcPr>
          <w:p w:rsidR="00FC3F43" w:rsidRPr="00BE0292" w:rsidRDefault="00FC3F43" w:rsidP="00174359">
            <w:pPr>
              <w:spacing w:line="276" w:lineRule="auto"/>
              <w:jc w:val="center"/>
              <w:rPr>
                <w:rFonts w:ascii="Garamond" w:eastAsia="Palatino Linotype" w:hAnsi="Garamond" w:cs="Palatino Linotype"/>
                <w:b/>
                <w:bCs/>
                <w:sz w:val="20"/>
                <w:szCs w:val="20"/>
              </w:rPr>
            </w:pPr>
            <w:r w:rsidRPr="00BE0292">
              <w:rPr>
                <w:rFonts w:ascii="Garamond" w:hAnsi="Garamond" w:cs="Calibri"/>
                <w:b/>
                <w:bCs/>
                <w:color w:val="000000"/>
                <w:sz w:val="20"/>
                <w:szCs w:val="20"/>
              </w:rPr>
              <w:t>-45.0</w:t>
            </w:r>
          </w:p>
        </w:tc>
      </w:tr>
    </w:tbl>
    <w:p w:rsidR="00FC3F43" w:rsidRPr="00BE0292" w:rsidRDefault="00FC3F43" w:rsidP="00FC3F43">
      <w:pPr>
        <w:pBdr>
          <w:between w:val="nil"/>
        </w:pBdr>
        <w:jc w:val="center"/>
        <w:rPr>
          <w:rFonts w:ascii="Garamond" w:eastAsia="Palatino Linotype" w:hAnsi="Garamond" w:cs="Palatino Linotype"/>
          <w:b/>
          <w:color w:val="000000"/>
        </w:rPr>
      </w:pPr>
    </w:p>
    <w:p w:rsidR="00FC3F43" w:rsidRPr="00BE0292" w:rsidRDefault="00FC3F43" w:rsidP="00FC3F43">
      <w:pPr>
        <w:tabs>
          <w:tab w:val="left" w:pos="3135"/>
        </w:tabs>
        <w:spacing w:line="276" w:lineRule="auto"/>
        <w:rPr>
          <w:rFonts w:ascii="Garamond" w:eastAsia="Palatino Linotype" w:hAnsi="Garamond" w:cs="Palatino Linotype"/>
          <w:bCs/>
          <w:szCs w:val="22"/>
        </w:rPr>
      </w:pPr>
      <w:r w:rsidRPr="00BE0292">
        <w:rPr>
          <w:rFonts w:ascii="Garamond" w:eastAsia="Palatino Linotype" w:hAnsi="Garamond" w:cs="Palatino Linotype"/>
          <w:b/>
          <w:szCs w:val="22"/>
        </w:rPr>
        <w:t xml:space="preserve">Source: </w:t>
      </w:r>
      <w:r w:rsidRPr="00BE0292">
        <w:rPr>
          <w:rFonts w:ascii="Garamond" w:eastAsia="Palatino Linotype" w:hAnsi="Garamond" w:cs="Palatino Linotype"/>
          <w:bCs/>
          <w:szCs w:val="22"/>
        </w:rPr>
        <w:t>BSE and NSE</w:t>
      </w:r>
    </w:p>
    <w:p w:rsidR="00FC3F43" w:rsidRPr="00BE0292" w:rsidRDefault="00FC3F43" w:rsidP="00FC3F43">
      <w:pPr>
        <w:tabs>
          <w:tab w:val="left" w:pos="3135"/>
        </w:tabs>
        <w:spacing w:line="276" w:lineRule="auto"/>
        <w:rPr>
          <w:rFonts w:ascii="Garamond" w:eastAsia="Palatino Linotype" w:hAnsi="Garamond" w:cs="Palatino Linotype"/>
          <w:b/>
          <w:szCs w:val="22"/>
        </w:rPr>
      </w:pPr>
    </w:p>
    <w:p w:rsidR="00FC3F43" w:rsidRPr="00BE0292" w:rsidRDefault="00FC3F43" w:rsidP="00FC3F43">
      <w:pPr>
        <w:pBdr>
          <w:between w:val="nil"/>
        </w:pBdr>
        <w:jc w:val="center"/>
        <w:rPr>
          <w:rFonts w:ascii="Garamond" w:eastAsia="Palatino Linotype" w:hAnsi="Garamond" w:cs="Palatino Linotype"/>
          <w:b/>
          <w:color w:val="000000"/>
        </w:rPr>
      </w:pPr>
    </w:p>
    <w:p w:rsidR="00FC3F43" w:rsidRPr="00BE0292" w:rsidRDefault="00FC3F43" w:rsidP="00FC3F43">
      <w:pPr>
        <w:widowControl w:val="0"/>
        <w:numPr>
          <w:ilvl w:val="0"/>
          <w:numId w:val="3"/>
        </w:numPr>
        <w:spacing w:line="276" w:lineRule="auto"/>
        <w:ind w:left="567" w:hanging="567"/>
        <w:jc w:val="both"/>
        <w:rPr>
          <w:rFonts w:ascii="Garamond" w:eastAsia="Palatino Linotype" w:hAnsi="Garamond" w:cs="Palatino Linotype"/>
          <w:b/>
        </w:rPr>
      </w:pPr>
      <w:r w:rsidRPr="00BE0292">
        <w:rPr>
          <w:rFonts w:ascii="Garamond" w:eastAsia="Palatino Linotype" w:hAnsi="Garamond" w:cs="Palatino Linotype"/>
          <w:b/>
        </w:rPr>
        <w:t xml:space="preserve">Currency Derivatives </w:t>
      </w:r>
    </w:p>
    <w:p w:rsidR="00FC3F43" w:rsidRPr="00BE0292" w:rsidRDefault="00FC3F43" w:rsidP="00E363E2">
      <w:pPr>
        <w:spacing w:line="276" w:lineRule="auto"/>
        <w:ind w:left="567"/>
        <w:rPr>
          <w:rFonts w:ascii="Garamond" w:eastAsia="Palatino Linotype" w:hAnsi="Garamond" w:cs="Palatino Linotype"/>
          <w:szCs w:val="22"/>
        </w:rPr>
      </w:pPr>
      <w:r w:rsidRPr="00BE0292">
        <w:rPr>
          <w:rFonts w:ascii="Garamond" w:eastAsia="Palatino Linotype" w:hAnsi="Garamond" w:cs="Palatino Linotype"/>
          <w:szCs w:val="22"/>
        </w:rPr>
        <w:t xml:space="preserve">During December 2021, the monthly notional turnover of currency derivatives in India (NSE, BSE and MSEI together) stood at </w:t>
      </w:r>
      <w:r w:rsidRPr="00BE0292">
        <w:rPr>
          <w:rFonts w:ascii="Times New Roman" w:eastAsia="Palatino Linotype" w:hAnsi="Times New Roman"/>
          <w:szCs w:val="22"/>
        </w:rPr>
        <w:t>₹</w:t>
      </w:r>
      <w:r w:rsidRPr="00BE0292">
        <w:rPr>
          <w:rFonts w:ascii="Garamond" w:eastAsia="Palatino Linotype" w:hAnsi="Garamond" w:cs="Palatino Linotype"/>
          <w:szCs w:val="22"/>
        </w:rPr>
        <w:t xml:space="preserve"> 29,74,958 crore as compared to </w:t>
      </w:r>
      <w:r w:rsidRPr="00BE0292">
        <w:rPr>
          <w:rFonts w:ascii="Times New Roman" w:eastAsia="Palatino Linotype" w:hAnsi="Times New Roman"/>
          <w:szCs w:val="22"/>
        </w:rPr>
        <w:t>₹</w:t>
      </w:r>
      <w:r w:rsidRPr="00BE0292">
        <w:rPr>
          <w:rFonts w:ascii="Garamond" w:eastAsia="Palatino Linotype" w:hAnsi="Garamond" w:cs="Palatino Linotype"/>
          <w:szCs w:val="22"/>
        </w:rPr>
        <w:t xml:space="preserve"> 21,50,977 crore in November 2021, registering rise of 38.31 per cent.</w:t>
      </w:r>
    </w:p>
    <w:p w:rsidR="00FC3F43" w:rsidRPr="00BE0292" w:rsidRDefault="00FC3F43" w:rsidP="00FC3F43">
      <w:pPr>
        <w:ind w:left="567"/>
        <w:rPr>
          <w:rFonts w:ascii="Garamond" w:eastAsia="Palatino Linotype" w:hAnsi="Garamond" w:cs="Palatino Linotype"/>
          <w:szCs w:val="22"/>
        </w:rPr>
      </w:pPr>
    </w:p>
    <w:p w:rsidR="00FC3F43" w:rsidRPr="00BE0292" w:rsidRDefault="00FC3F43" w:rsidP="00BE0292">
      <w:pPr>
        <w:keepNext/>
        <w:pBdr>
          <w:between w:val="nil"/>
        </w:pBdr>
        <w:spacing w:line="276" w:lineRule="auto"/>
        <w:ind w:left="720" w:hanging="720"/>
        <w:jc w:val="center"/>
        <w:rPr>
          <w:rFonts w:ascii="Garamond" w:eastAsia="Palatino Linotype" w:hAnsi="Garamond" w:cs="Palatino Linotype"/>
          <w:b/>
        </w:rPr>
      </w:pPr>
      <w:r w:rsidRPr="00BE0292">
        <w:rPr>
          <w:rFonts w:ascii="Garamond" w:eastAsia="Palatino Linotype" w:hAnsi="Garamond" w:cs="Palatino Linotype"/>
          <w:b/>
        </w:rPr>
        <w:t>Figure 7: Trends of Currency Derivatives at NSE, MSEI and BSE (</w:t>
      </w:r>
      <w:r w:rsidRPr="00BE0292">
        <w:rPr>
          <w:rFonts w:ascii="Times New Roman" w:eastAsia="Palatino Linotype" w:hAnsi="Times New Roman"/>
          <w:b/>
        </w:rPr>
        <w:t>₹</w:t>
      </w:r>
      <w:r w:rsidRPr="00BE0292">
        <w:rPr>
          <w:rFonts w:ascii="Garamond" w:eastAsia="Palatino Linotype" w:hAnsi="Garamond" w:cs="Palatino Linotype"/>
          <w:b/>
        </w:rPr>
        <w:t xml:space="preserve"> crore)</w:t>
      </w:r>
    </w:p>
    <w:p w:rsidR="00FC3F43" w:rsidRPr="00BE0292" w:rsidRDefault="00DD1A9A" w:rsidP="00BE0292">
      <w:pPr>
        <w:keepNext/>
        <w:pBdr>
          <w:between w:val="nil"/>
        </w:pBdr>
        <w:spacing w:line="276" w:lineRule="auto"/>
        <w:ind w:left="720" w:hanging="720"/>
        <w:jc w:val="center"/>
        <w:rPr>
          <w:rFonts w:ascii="Garamond" w:eastAsia="Palatino Linotype" w:hAnsi="Garamond" w:cs="Palatino Linotype"/>
          <w:b/>
        </w:rPr>
      </w:pPr>
      <w:r w:rsidRPr="00BE0292">
        <w:rPr>
          <w:noProof/>
          <w:lang w:val="en-IN" w:eastAsia="en-IN" w:bidi="hi-IN"/>
        </w:rPr>
        <w:drawing>
          <wp:inline distT="0" distB="0" distL="0" distR="0">
            <wp:extent cx="5284470" cy="2133600"/>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F43" w:rsidRPr="00BE0292" w:rsidRDefault="00FC3F43" w:rsidP="00BE0292">
      <w:pPr>
        <w:keepNext/>
        <w:pBdr>
          <w:between w:val="nil"/>
        </w:pBdr>
        <w:spacing w:line="276" w:lineRule="auto"/>
        <w:ind w:left="720" w:hanging="720"/>
        <w:jc w:val="center"/>
        <w:rPr>
          <w:rFonts w:ascii="Garamond" w:eastAsia="Palatino Linotype" w:hAnsi="Garamond" w:cs="Palatino Linotype"/>
          <w:b/>
        </w:rPr>
      </w:pPr>
    </w:p>
    <w:p w:rsidR="00FC3F43" w:rsidRDefault="00FC3F43" w:rsidP="00BE0292">
      <w:pPr>
        <w:spacing w:line="276" w:lineRule="auto"/>
        <w:ind w:left="720"/>
        <w:rPr>
          <w:rFonts w:ascii="Garamond" w:eastAsia="Palatino Linotype" w:hAnsi="Garamond" w:cs="Palatino Linotype"/>
          <w:bCs/>
          <w:szCs w:val="22"/>
        </w:rPr>
      </w:pPr>
      <w:r w:rsidRPr="00BE0292">
        <w:rPr>
          <w:rFonts w:ascii="Garamond" w:eastAsia="Palatino Linotype" w:hAnsi="Garamond" w:cs="Palatino Linotype"/>
          <w:b/>
          <w:szCs w:val="22"/>
        </w:rPr>
        <w:t xml:space="preserve">           Source: </w:t>
      </w:r>
      <w:r w:rsidRPr="00BE0292">
        <w:rPr>
          <w:rFonts w:ascii="Garamond" w:eastAsia="Palatino Linotype" w:hAnsi="Garamond" w:cs="Palatino Linotype"/>
          <w:bCs/>
          <w:szCs w:val="22"/>
        </w:rPr>
        <w:t>BSE, NSE and MSEI</w:t>
      </w:r>
    </w:p>
    <w:p w:rsidR="004D480C" w:rsidRPr="00BE0292" w:rsidRDefault="004D480C" w:rsidP="00BE0292">
      <w:pPr>
        <w:spacing w:line="276" w:lineRule="auto"/>
        <w:ind w:left="720"/>
        <w:rPr>
          <w:rFonts w:ascii="Garamond" w:eastAsia="Palatino Linotype" w:hAnsi="Garamond" w:cs="Palatino Linotype"/>
          <w:bCs/>
          <w:szCs w:val="22"/>
        </w:rPr>
      </w:pPr>
    </w:p>
    <w:p w:rsidR="00FC3F43" w:rsidRPr="00BE0292" w:rsidRDefault="00FC3F43" w:rsidP="00BE0292">
      <w:pPr>
        <w:spacing w:line="276" w:lineRule="auto"/>
        <w:rPr>
          <w:rFonts w:ascii="Garamond" w:eastAsia="Palatino Linotype" w:hAnsi="Garamond" w:cs="Palatino Linotype"/>
          <w:b/>
        </w:rPr>
      </w:pPr>
    </w:p>
    <w:p w:rsidR="00FC3F43" w:rsidRPr="00BE0292" w:rsidRDefault="00FC3F43" w:rsidP="00BE0292">
      <w:pPr>
        <w:widowControl w:val="0"/>
        <w:numPr>
          <w:ilvl w:val="0"/>
          <w:numId w:val="3"/>
        </w:numPr>
        <w:spacing w:line="276" w:lineRule="auto"/>
        <w:ind w:left="567" w:hanging="567"/>
        <w:jc w:val="both"/>
        <w:rPr>
          <w:rFonts w:ascii="Garamond" w:eastAsia="Palatino Linotype" w:hAnsi="Garamond" w:cs="Palatino Linotype"/>
          <w:b/>
        </w:rPr>
      </w:pPr>
      <w:r w:rsidRPr="00BE0292">
        <w:rPr>
          <w:rFonts w:ascii="Garamond" w:eastAsia="Palatino Linotype" w:hAnsi="Garamond" w:cs="Palatino Linotype"/>
          <w:b/>
        </w:rPr>
        <w:lastRenderedPageBreak/>
        <w:t xml:space="preserve">Interest Rate Derivatives </w:t>
      </w:r>
    </w:p>
    <w:p w:rsidR="00FC3F43" w:rsidRPr="00BE0292" w:rsidRDefault="00FC3F43" w:rsidP="00E363E2">
      <w:pPr>
        <w:pStyle w:val="ListParagraph"/>
        <w:jc w:val="both"/>
        <w:rPr>
          <w:rFonts w:ascii="Garamond" w:eastAsia="Palatino Linotype" w:hAnsi="Garamond" w:cs="Palatino Linotype"/>
          <w:sz w:val="24"/>
          <w:szCs w:val="24"/>
          <w:lang w:val="en-GB"/>
        </w:rPr>
      </w:pPr>
      <w:r w:rsidRPr="00BE0292">
        <w:rPr>
          <w:rFonts w:ascii="Garamond" w:eastAsia="Palatino Linotype" w:hAnsi="Garamond" w:cs="Palatino Linotype"/>
          <w:sz w:val="24"/>
          <w:szCs w:val="24"/>
          <w:lang w:val="en-GB"/>
        </w:rPr>
        <w:t xml:space="preserve">During December 2021, the monthly notional turnover of interest rate derivatives at NSE increased by 9.61 per cent to </w:t>
      </w:r>
      <w:r w:rsidRPr="00BE0292">
        <w:rPr>
          <w:rFonts w:ascii="Times New Roman" w:eastAsia="Palatino Linotype" w:hAnsi="Times New Roman"/>
          <w:sz w:val="24"/>
          <w:szCs w:val="24"/>
          <w:lang w:val="en-GB"/>
        </w:rPr>
        <w:t>₹</w:t>
      </w:r>
      <w:r w:rsidRPr="00BE0292">
        <w:rPr>
          <w:rFonts w:ascii="Garamond" w:eastAsia="Palatino Linotype" w:hAnsi="Garamond" w:cs="Palatino Linotype"/>
          <w:sz w:val="24"/>
          <w:szCs w:val="24"/>
          <w:lang w:val="en-GB"/>
        </w:rPr>
        <w:t xml:space="preserve"> 1,757 crore, while that at BSE decreased by 10.81 per cent to </w:t>
      </w:r>
      <w:r w:rsidRPr="00BE0292">
        <w:rPr>
          <w:rFonts w:ascii="Times New Roman" w:eastAsia="Palatino Linotype" w:hAnsi="Times New Roman"/>
          <w:sz w:val="24"/>
          <w:szCs w:val="24"/>
          <w:lang w:val="en-GB"/>
        </w:rPr>
        <w:t>₹</w:t>
      </w:r>
      <w:r w:rsidRPr="00BE0292">
        <w:rPr>
          <w:rFonts w:ascii="Garamond" w:eastAsia="Palatino Linotype" w:hAnsi="Garamond" w:cs="Palatino Linotype"/>
          <w:sz w:val="24"/>
          <w:szCs w:val="24"/>
          <w:lang w:val="en-GB"/>
        </w:rPr>
        <w:t xml:space="preserve"> 2,031 crore.</w:t>
      </w:r>
    </w:p>
    <w:p w:rsidR="00FC3F43" w:rsidRPr="00BE0292" w:rsidRDefault="00FC3F43" w:rsidP="00BE0292">
      <w:pPr>
        <w:keepNext/>
        <w:pBdr>
          <w:between w:val="nil"/>
        </w:pBdr>
        <w:spacing w:line="276" w:lineRule="auto"/>
        <w:ind w:left="720" w:hanging="720"/>
        <w:jc w:val="center"/>
        <w:rPr>
          <w:rFonts w:ascii="Garamond" w:eastAsia="Palatino Linotype" w:hAnsi="Garamond" w:cs="Palatino Linotype"/>
          <w:b/>
        </w:rPr>
      </w:pPr>
      <w:r w:rsidRPr="00BE0292">
        <w:rPr>
          <w:rFonts w:ascii="Garamond" w:eastAsia="Palatino Linotype" w:hAnsi="Garamond" w:cs="Palatino Linotype"/>
          <w:b/>
        </w:rPr>
        <w:t>Figure 8: Trends of Interest Rate Derivatives at NSE and BSE (</w:t>
      </w:r>
      <w:r w:rsidRPr="00BE0292">
        <w:rPr>
          <w:rFonts w:ascii="Times New Roman" w:eastAsia="Palatino Linotype" w:hAnsi="Times New Roman"/>
          <w:b/>
        </w:rPr>
        <w:t>₹</w:t>
      </w:r>
      <w:r w:rsidRPr="00BE0292">
        <w:rPr>
          <w:rFonts w:ascii="Garamond" w:eastAsia="Palatino Linotype" w:hAnsi="Garamond" w:cs="Palatino Linotype"/>
          <w:b/>
        </w:rPr>
        <w:t xml:space="preserve"> crore)</w:t>
      </w:r>
    </w:p>
    <w:p w:rsidR="00FC3F43" w:rsidRPr="00BE0292" w:rsidRDefault="00DD1A9A" w:rsidP="00BE0292">
      <w:pPr>
        <w:keepNext/>
        <w:pBdr>
          <w:between w:val="nil"/>
        </w:pBdr>
        <w:spacing w:line="276" w:lineRule="auto"/>
        <w:ind w:left="720" w:hanging="720"/>
        <w:jc w:val="center"/>
        <w:rPr>
          <w:rFonts w:ascii="Garamond" w:eastAsia="Palatino Linotype" w:hAnsi="Garamond" w:cs="Palatino Linotype"/>
          <w:b/>
        </w:rPr>
      </w:pPr>
      <w:r w:rsidRPr="00BE0292">
        <w:rPr>
          <w:noProof/>
          <w:lang w:val="en-IN" w:eastAsia="en-IN" w:bidi="hi-IN"/>
        </w:rPr>
        <w:drawing>
          <wp:inline distT="0" distB="0" distL="0" distR="0">
            <wp:extent cx="5289550" cy="1968500"/>
            <wp:effectExtent l="0" t="0" r="6350" b="12700"/>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3F43" w:rsidRPr="00BE0292" w:rsidRDefault="00FC3F43" w:rsidP="00BE0292">
      <w:pPr>
        <w:pBdr>
          <w:top w:val="nil"/>
          <w:left w:val="nil"/>
          <w:bottom w:val="nil"/>
          <w:right w:val="nil"/>
          <w:between w:val="nil"/>
        </w:pBdr>
        <w:spacing w:line="276" w:lineRule="auto"/>
        <w:rPr>
          <w:rFonts w:ascii="Garamond" w:eastAsia="Palatino Linotype" w:hAnsi="Garamond" w:cs="Palatino Linotype"/>
          <w:b/>
        </w:rPr>
      </w:pPr>
      <w:r w:rsidRPr="00BE0292">
        <w:rPr>
          <w:rFonts w:ascii="Garamond" w:eastAsia="Palatino Linotype" w:hAnsi="Garamond" w:cs="Palatino Linotype"/>
          <w:b/>
        </w:rPr>
        <w:t xml:space="preserve">   </w:t>
      </w:r>
      <w:r w:rsidRPr="00BE0292">
        <w:rPr>
          <w:rFonts w:ascii="Garamond" w:eastAsia="Palatino Linotype" w:hAnsi="Garamond" w:cs="Palatino Linotype"/>
          <w:b/>
          <w:szCs w:val="22"/>
        </w:rPr>
        <w:t xml:space="preserve">  Source: </w:t>
      </w:r>
      <w:r w:rsidRPr="00BE0292">
        <w:rPr>
          <w:rFonts w:ascii="Garamond" w:eastAsia="Palatino Linotype" w:hAnsi="Garamond" w:cs="Palatino Linotype"/>
          <w:bCs/>
          <w:szCs w:val="22"/>
        </w:rPr>
        <w:t>BSE and NSE</w:t>
      </w:r>
      <w:r w:rsidRPr="00BE0292">
        <w:rPr>
          <w:rFonts w:ascii="Garamond" w:eastAsia="Palatino Linotype" w:hAnsi="Garamond" w:cs="Palatino Linotype"/>
          <w:b/>
          <w:szCs w:val="22"/>
        </w:rPr>
        <w:t xml:space="preserve"> </w:t>
      </w:r>
    </w:p>
    <w:p w:rsidR="006A6CB3" w:rsidRPr="006A6CB3" w:rsidRDefault="006A6CB3" w:rsidP="006A6CB3">
      <w:pPr>
        <w:rPr>
          <w:rFonts w:ascii="Garamond" w:eastAsia="Palatino Linotype" w:hAnsi="Garamond" w:cs="Palatino Linotype"/>
          <w:b/>
        </w:rPr>
      </w:pPr>
    </w:p>
    <w:p w:rsidR="006A6CB3" w:rsidRPr="004D480C" w:rsidRDefault="006A6CB3" w:rsidP="006A6CB3">
      <w:pPr>
        <w:widowControl w:val="0"/>
        <w:numPr>
          <w:ilvl w:val="0"/>
          <w:numId w:val="2"/>
        </w:numPr>
        <w:spacing w:line="276" w:lineRule="auto"/>
        <w:ind w:left="454" w:hanging="454"/>
        <w:rPr>
          <w:rFonts w:ascii="Garamond" w:eastAsia="Palatino Linotype" w:hAnsi="Garamond" w:cs="Palatino Linotype"/>
          <w:b/>
        </w:rPr>
      </w:pPr>
      <w:r w:rsidRPr="004D480C">
        <w:rPr>
          <w:rFonts w:ascii="Garamond" w:eastAsia="Palatino Linotype" w:hAnsi="Garamond" w:cs="Palatino Linotype"/>
          <w:b/>
        </w:rPr>
        <w:t>Trading in Corporate Debt Market</w:t>
      </w:r>
    </w:p>
    <w:p w:rsidR="001F359F" w:rsidRPr="001F359F" w:rsidRDefault="001F359F" w:rsidP="001F359F">
      <w:pPr>
        <w:widowControl w:val="0"/>
        <w:numPr>
          <w:ilvl w:val="0"/>
          <w:numId w:val="1"/>
        </w:numPr>
        <w:spacing w:line="276" w:lineRule="auto"/>
        <w:ind w:left="714" w:hanging="357"/>
        <w:jc w:val="both"/>
        <w:rPr>
          <w:rFonts w:ascii="Garamond" w:eastAsia="Palatino Linotype" w:hAnsi="Garamond" w:cs="Palatino Linotype"/>
        </w:rPr>
      </w:pPr>
      <w:r w:rsidRPr="001F359F">
        <w:rPr>
          <w:rFonts w:ascii="Garamond" w:eastAsia="Palatino Linotype" w:hAnsi="Garamond" w:cs="Palatino Linotype"/>
        </w:rPr>
        <w:t xml:space="preserve">During December 2021, BSE registered 7,396 trades of corporate debt with traded value of </w:t>
      </w:r>
      <w:r w:rsidRPr="001F359F">
        <w:rPr>
          <w:rFonts w:ascii="Times New Roman" w:eastAsia="Palatino Linotype" w:hAnsi="Times New Roman"/>
        </w:rPr>
        <w:t>₹</w:t>
      </w:r>
      <w:r w:rsidRPr="001F359F">
        <w:rPr>
          <w:rFonts w:ascii="Garamond" w:eastAsia="Palatino Linotype" w:hAnsi="Garamond" w:cs="Palatino Linotype"/>
        </w:rPr>
        <w:t xml:space="preserve">51,214 crore, registering an increase of 30.7 per cent in traded value as compared to November 2021. </w:t>
      </w:r>
    </w:p>
    <w:p w:rsidR="001F359F" w:rsidRPr="001F359F" w:rsidRDefault="001F359F" w:rsidP="001F359F">
      <w:pPr>
        <w:widowControl w:val="0"/>
        <w:numPr>
          <w:ilvl w:val="0"/>
          <w:numId w:val="1"/>
        </w:numPr>
        <w:spacing w:line="276" w:lineRule="auto"/>
        <w:ind w:left="714" w:hanging="357"/>
        <w:jc w:val="both"/>
        <w:rPr>
          <w:rFonts w:ascii="Garamond" w:eastAsia="Palatino Linotype" w:hAnsi="Garamond" w:cs="Palatino Linotype"/>
        </w:rPr>
      </w:pPr>
      <w:r w:rsidRPr="001F359F">
        <w:rPr>
          <w:rFonts w:ascii="Garamond" w:eastAsia="Palatino Linotype" w:hAnsi="Garamond" w:cs="Palatino Linotype"/>
        </w:rPr>
        <w:t xml:space="preserve">At NSE, 5,468 trades were recorded with a traded value of </w:t>
      </w:r>
      <w:r w:rsidRPr="001F359F">
        <w:rPr>
          <w:rFonts w:ascii="Times New Roman" w:eastAsia="Palatino Linotype" w:hAnsi="Times New Roman"/>
        </w:rPr>
        <w:t>₹</w:t>
      </w:r>
      <w:r w:rsidRPr="001F359F">
        <w:rPr>
          <w:rFonts w:ascii="Garamond" w:eastAsia="Palatino Linotype" w:hAnsi="Garamond" w:cs="Palatino Linotype"/>
        </w:rPr>
        <w:t xml:space="preserve">94,734 crore in December 2021 which is 31.8 per cent higher as compared to November 2021. </w:t>
      </w:r>
    </w:p>
    <w:p w:rsidR="006A6CB3" w:rsidRPr="006A6CB3" w:rsidRDefault="006A6CB3" w:rsidP="006A6CB3">
      <w:pPr>
        <w:pBdr>
          <w:top w:val="nil"/>
          <w:left w:val="nil"/>
          <w:bottom w:val="nil"/>
          <w:right w:val="nil"/>
          <w:between w:val="nil"/>
        </w:pBdr>
        <w:spacing w:line="276" w:lineRule="auto"/>
        <w:ind w:left="720"/>
        <w:jc w:val="both"/>
        <w:rPr>
          <w:rFonts w:ascii="Garamond" w:eastAsia="Palatino Linotype" w:hAnsi="Garamond" w:cs="Palatino Linotype"/>
          <w:b/>
          <w:color w:val="2E74B5"/>
        </w:rPr>
      </w:pPr>
    </w:p>
    <w:p w:rsidR="006A6CB3" w:rsidRPr="006A6CB3" w:rsidRDefault="006A6CB3"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t>Figure 10: Trends in Reported Turnover of Corporate Bonds (</w:t>
      </w:r>
      <w:r w:rsidRPr="006A6CB3">
        <w:rPr>
          <w:rFonts w:ascii="Times New Roman" w:eastAsia="Palatino Linotype" w:hAnsi="Times New Roman"/>
          <w:b/>
        </w:rPr>
        <w:t>₹</w:t>
      </w:r>
      <w:r w:rsidRPr="006A6CB3">
        <w:rPr>
          <w:rFonts w:ascii="Garamond" w:eastAsia="Palatino Linotype" w:hAnsi="Garamond" w:cs="Palatino Linotype"/>
          <w:b/>
        </w:rPr>
        <w:t xml:space="preserve"> crore)</w:t>
      </w:r>
    </w:p>
    <w:p w:rsidR="006A6CB3" w:rsidRPr="006A6CB3" w:rsidRDefault="001F359F"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Pr>
          <w:noProof/>
          <w:lang w:val="en-IN" w:eastAsia="en-IN" w:bidi="hi-IN"/>
        </w:rPr>
        <w:drawing>
          <wp:inline distT="0" distB="0" distL="0" distR="0" wp14:anchorId="3EFBB431" wp14:editId="593C9411">
            <wp:extent cx="5283200" cy="2190750"/>
            <wp:effectExtent l="0" t="0" r="12700" b="0"/>
            <wp:docPr id="17" name="Chart 1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6CB3" w:rsidRPr="00D87E25" w:rsidRDefault="006A6CB3" w:rsidP="006A6CB3">
      <w:pPr>
        <w:rPr>
          <w:rFonts w:ascii="Garamond" w:eastAsia="Palatino Linotype" w:hAnsi="Garamond" w:cs="Palatino Linotype"/>
          <w:bCs/>
          <w:sz w:val="22"/>
          <w:szCs w:val="22"/>
        </w:rPr>
      </w:pPr>
      <w:r w:rsidRPr="006A6CB3">
        <w:rPr>
          <w:rFonts w:ascii="Garamond" w:eastAsia="Palatino Linotype" w:hAnsi="Garamond" w:cs="Palatino Linotype"/>
          <w:b/>
        </w:rPr>
        <w:t xml:space="preserve">                     </w:t>
      </w:r>
      <w:r w:rsidRPr="00D87E25">
        <w:rPr>
          <w:rFonts w:ascii="Garamond" w:eastAsia="Palatino Linotype" w:hAnsi="Garamond" w:cs="Palatino Linotype"/>
          <w:b/>
          <w:sz w:val="22"/>
          <w:szCs w:val="22"/>
        </w:rPr>
        <w:t xml:space="preserve">Source: </w:t>
      </w:r>
      <w:r w:rsidRPr="00D87E25">
        <w:rPr>
          <w:rFonts w:ascii="Garamond" w:eastAsia="Palatino Linotype" w:hAnsi="Garamond" w:cs="Palatino Linotype"/>
          <w:bCs/>
          <w:sz w:val="22"/>
          <w:szCs w:val="22"/>
        </w:rPr>
        <w:t>BSE and NSE</w:t>
      </w:r>
    </w:p>
    <w:p w:rsidR="006A6CB3" w:rsidRDefault="006A6CB3" w:rsidP="006A6CB3">
      <w:pPr>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567" w:hanging="567"/>
        <w:rPr>
          <w:rFonts w:ascii="Garamond" w:eastAsia="Palatino Linotype" w:hAnsi="Garamond" w:cs="Palatino Linotype"/>
          <w:b/>
        </w:rPr>
      </w:pPr>
      <w:r w:rsidRPr="006A6CB3">
        <w:rPr>
          <w:rFonts w:ascii="Garamond" w:eastAsia="Palatino Linotype" w:hAnsi="Garamond" w:cs="Palatino Linotype"/>
          <w:b/>
        </w:rPr>
        <w:t>Trends in Institutional Investments</w:t>
      </w:r>
    </w:p>
    <w:p w:rsidR="006A6CB3" w:rsidRPr="006A6CB3" w:rsidRDefault="006A6CB3" w:rsidP="006A6CB3">
      <w:pPr>
        <w:widowControl w:val="0"/>
        <w:spacing w:line="276" w:lineRule="auto"/>
        <w:ind w:left="567"/>
        <w:rPr>
          <w:rFonts w:ascii="Garamond" w:eastAsia="Palatino Linotype" w:hAnsi="Garamond" w:cs="Palatino Linotype"/>
          <w:b/>
        </w:rPr>
      </w:pPr>
    </w:p>
    <w:p w:rsidR="006A6CB3" w:rsidRPr="006A6CB3" w:rsidRDefault="006A6CB3" w:rsidP="006A6CB3">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Trends in Fund Mobilisation/Transactions by Mutual Funds</w:t>
      </w:r>
    </w:p>
    <w:p w:rsidR="00E545F9" w:rsidRPr="002D088A" w:rsidRDefault="006A6CB3" w:rsidP="00E545F9">
      <w:pPr>
        <w:numPr>
          <w:ilvl w:val="0"/>
          <w:numId w:val="1"/>
        </w:numPr>
        <w:pBdr>
          <w:between w:val="nil"/>
        </w:pBdr>
        <w:spacing w:line="360" w:lineRule="auto"/>
        <w:jc w:val="both"/>
        <w:rPr>
          <w:rFonts w:ascii="Garamond" w:eastAsia="Times New Roman" w:hAnsi="Garamond" w:cs="Tahoma"/>
          <w:color w:val="000000"/>
          <w:lang w:eastAsia="en-IN"/>
        </w:rPr>
      </w:pPr>
      <w:r w:rsidRPr="00966FBB">
        <w:rPr>
          <w:rFonts w:ascii="Garamond" w:eastAsia="Times New Roman" w:hAnsi="Garamond" w:cs="Tahoma"/>
          <w:color w:val="000000"/>
          <w:lang w:val="en-IN" w:eastAsia="en-IN"/>
        </w:rPr>
        <w:t> </w:t>
      </w:r>
      <w:r w:rsidR="00E545F9" w:rsidRPr="002D088A">
        <w:rPr>
          <w:rFonts w:ascii="Garamond" w:eastAsia="Times New Roman" w:hAnsi="Garamond" w:cs="Tahoma"/>
          <w:color w:val="000000"/>
          <w:lang w:eastAsia="en-IN"/>
        </w:rPr>
        <w:t xml:space="preserve">As at end of </w:t>
      </w:r>
      <w:r w:rsidR="00E545F9">
        <w:rPr>
          <w:rFonts w:ascii="Garamond" w:eastAsia="Times New Roman" w:hAnsi="Garamond" w:cs="Tahoma"/>
          <w:color w:val="000000"/>
          <w:lang w:eastAsia="en-IN"/>
        </w:rPr>
        <w:t>December</w:t>
      </w:r>
      <w:r w:rsidR="00E545F9" w:rsidRPr="002D088A">
        <w:rPr>
          <w:rFonts w:ascii="Garamond" w:eastAsia="Times New Roman" w:hAnsi="Garamond" w:cs="Tahoma"/>
          <w:color w:val="000000"/>
          <w:lang w:eastAsia="en-IN"/>
        </w:rPr>
        <w:t xml:space="preserve"> 2</w:t>
      </w:r>
      <w:r w:rsidR="00E545F9">
        <w:rPr>
          <w:rFonts w:ascii="Garamond" w:eastAsia="Times New Roman" w:hAnsi="Garamond" w:cs="Tahoma"/>
          <w:color w:val="000000"/>
          <w:lang w:eastAsia="en-IN"/>
        </w:rPr>
        <w:t>021, there were a total of 1,451</w:t>
      </w:r>
      <w:r w:rsidR="00E545F9" w:rsidRPr="002D088A">
        <w:rPr>
          <w:rFonts w:ascii="Garamond" w:eastAsia="Times New Roman" w:hAnsi="Garamond" w:cs="Tahoma"/>
          <w:color w:val="000000"/>
          <w:lang w:eastAsia="en-IN"/>
        </w:rPr>
        <w:t xml:space="preserve"> mutual fund schem</w:t>
      </w:r>
      <w:r w:rsidR="00E545F9">
        <w:rPr>
          <w:rFonts w:ascii="Garamond" w:eastAsia="Times New Roman" w:hAnsi="Garamond" w:cs="Tahoma"/>
          <w:color w:val="000000"/>
          <w:lang w:eastAsia="en-IN"/>
        </w:rPr>
        <w:t>es, of which 1,080 were open-ended schemes, 350</w:t>
      </w:r>
      <w:r w:rsidR="00E545F9" w:rsidRPr="002D088A">
        <w:rPr>
          <w:rFonts w:ascii="Garamond" w:eastAsia="Times New Roman" w:hAnsi="Garamond" w:cs="Tahoma"/>
          <w:color w:val="000000"/>
          <w:lang w:eastAsia="en-IN"/>
        </w:rPr>
        <w:t xml:space="preserve"> were close-ended schemes and 21 were interval schemes. </w:t>
      </w:r>
    </w:p>
    <w:p w:rsidR="00E545F9" w:rsidRPr="002D088A" w:rsidRDefault="00E545F9" w:rsidP="00E545F9">
      <w:pPr>
        <w:numPr>
          <w:ilvl w:val="0"/>
          <w:numId w:val="1"/>
        </w:numPr>
        <w:pBdr>
          <w:between w:val="nil"/>
        </w:pBdr>
        <w:spacing w:line="360" w:lineRule="auto"/>
        <w:jc w:val="both"/>
        <w:rPr>
          <w:rFonts w:ascii="Garamond" w:eastAsia="Times New Roman" w:hAnsi="Garamond" w:cs="Tahoma"/>
          <w:color w:val="000000"/>
          <w:lang w:eastAsia="en-IN"/>
        </w:rPr>
      </w:pPr>
      <w:r w:rsidRPr="002D088A">
        <w:rPr>
          <w:rFonts w:ascii="Garamond" w:eastAsia="Times New Roman" w:hAnsi="Garamond" w:cs="Tahoma"/>
          <w:color w:val="000000"/>
          <w:lang w:eastAsia="en-IN"/>
        </w:rPr>
        <w:t xml:space="preserve">The mutual fund industry saw a net </w:t>
      </w:r>
      <w:r w:rsidR="008D3365">
        <w:rPr>
          <w:rFonts w:ascii="Garamond" w:eastAsia="Times New Roman" w:hAnsi="Garamond" w:cs="Tahoma"/>
          <w:color w:val="000000"/>
          <w:lang w:eastAsia="en-IN"/>
        </w:rPr>
        <w:t xml:space="preserve">monthly </w:t>
      </w:r>
      <w:r>
        <w:rPr>
          <w:rFonts w:ascii="Garamond" w:eastAsia="Times New Roman" w:hAnsi="Garamond" w:cs="Tahoma"/>
          <w:color w:val="000000"/>
          <w:lang w:eastAsia="en-IN"/>
        </w:rPr>
        <w:t>outflow</w:t>
      </w:r>
      <w:r w:rsidRPr="002D088A">
        <w:rPr>
          <w:rFonts w:ascii="Garamond" w:eastAsia="Times New Roman" w:hAnsi="Garamond" w:cs="Tahoma"/>
          <w:color w:val="000000"/>
          <w:lang w:eastAsia="en-IN"/>
        </w:rPr>
        <w:t xml:space="preserve"> of  </w:t>
      </w:r>
      <w:r w:rsidRPr="002D088A">
        <w:rPr>
          <w:rFonts w:ascii="Times New Roman" w:eastAsia="Times New Roman" w:hAnsi="Times New Roman"/>
          <w:color w:val="000000"/>
          <w:lang w:eastAsia="en-IN"/>
        </w:rPr>
        <w:t>₹</w:t>
      </w:r>
      <w:r>
        <w:rPr>
          <w:rFonts w:ascii="Garamond" w:eastAsia="Times New Roman" w:hAnsi="Garamond" w:cs="Tahoma"/>
          <w:color w:val="000000"/>
          <w:lang w:eastAsia="en-IN"/>
        </w:rPr>
        <w:t xml:space="preserve"> 4,212</w:t>
      </w:r>
      <w:r w:rsidRPr="002D088A">
        <w:rPr>
          <w:rFonts w:ascii="Garamond" w:eastAsia="Times New Roman" w:hAnsi="Garamond" w:cs="Tahoma"/>
          <w:color w:val="000000"/>
          <w:lang w:eastAsia="en-IN"/>
        </w:rPr>
        <w:t xml:space="preserve"> crore </w:t>
      </w:r>
      <w:r w:rsidR="008D3365">
        <w:rPr>
          <w:rFonts w:ascii="Garamond" w:eastAsia="Times New Roman" w:hAnsi="Garamond" w:cs="Tahoma"/>
          <w:color w:val="000000"/>
          <w:lang w:eastAsia="en-IN"/>
        </w:rPr>
        <w:t>in</w:t>
      </w:r>
      <w:r w:rsidRPr="002D088A">
        <w:rPr>
          <w:rFonts w:ascii="Garamond" w:eastAsia="Times New Roman" w:hAnsi="Garamond" w:cs="Tahoma"/>
          <w:color w:val="000000"/>
          <w:lang w:eastAsia="en-IN"/>
        </w:rPr>
        <w:t xml:space="preserve"> </w:t>
      </w:r>
      <w:r w:rsidRPr="0075361A">
        <w:rPr>
          <w:rFonts w:ascii="Garamond" w:eastAsia="Times New Roman" w:hAnsi="Garamond" w:cs="Tahoma"/>
          <w:color w:val="000000"/>
          <w:lang w:eastAsia="en-IN"/>
        </w:rPr>
        <w:t>December</w:t>
      </w:r>
      <w:r w:rsidRPr="002D088A">
        <w:rPr>
          <w:rFonts w:ascii="Garamond" w:eastAsia="Times New Roman" w:hAnsi="Garamond" w:cs="Tahoma"/>
          <w:color w:val="000000"/>
          <w:lang w:eastAsia="en-IN"/>
        </w:rPr>
        <w:t xml:space="preserve"> 2021 as against an outflow of </w:t>
      </w:r>
      <w:r w:rsidRPr="002D088A">
        <w:rPr>
          <w:rFonts w:ascii="Times New Roman" w:eastAsia="Times New Roman" w:hAnsi="Times New Roman"/>
          <w:color w:val="000000"/>
          <w:lang w:eastAsia="en-IN"/>
        </w:rPr>
        <w:t>₹</w:t>
      </w:r>
      <w:r w:rsidRPr="002D088A">
        <w:rPr>
          <w:rFonts w:ascii="Garamond" w:eastAsia="Times New Roman" w:hAnsi="Garamond" w:cs="Tahoma"/>
          <w:color w:val="000000"/>
          <w:lang w:eastAsia="en-IN"/>
        </w:rPr>
        <w:t xml:space="preserve"> </w:t>
      </w:r>
      <w:r>
        <w:rPr>
          <w:rFonts w:ascii="Garamond" w:eastAsia="Times New Roman" w:hAnsi="Garamond" w:cs="Tahoma"/>
          <w:color w:val="000000"/>
          <w:lang w:eastAsia="en-IN"/>
        </w:rPr>
        <w:t>46,165</w:t>
      </w:r>
      <w:r w:rsidRPr="002D088A">
        <w:rPr>
          <w:rFonts w:ascii="Garamond" w:eastAsia="Times New Roman" w:hAnsi="Garamond" w:cs="Tahoma"/>
          <w:color w:val="000000"/>
          <w:lang w:eastAsia="en-IN"/>
        </w:rPr>
        <w:t xml:space="preserve"> crore during </w:t>
      </w:r>
      <w:r w:rsidRPr="0035167B">
        <w:rPr>
          <w:rFonts w:ascii="Garamond" w:eastAsia="Times New Roman" w:hAnsi="Garamond" w:cs="Tahoma"/>
          <w:color w:val="000000"/>
          <w:lang w:eastAsia="en-IN"/>
        </w:rPr>
        <w:t xml:space="preserve">November </w:t>
      </w:r>
      <w:r w:rsidRPr="002D088A">
        <w:rPr>
          <w:rFonts w:ascii="Garamond" w:eastAsia="Times New Roman" w:hAnsi="Garamond" w:cs="Tahoma"/>
          <w:color w:val="000000"/>
          <w:lang w:eastAsia="en-IN"/>
        </w:rPr>
        <w:t>2021.</w:t>
      </w:r>
    </w:p>
    <w:p w:rsidR="00E545F9" w:rsidRPr="00A5593E" w:rsidRDefault="00E545F9" w:rsidP="00E545F9">
      <w:pPr>
        <w:numPr>
          <w:ilvl w:val="0"/>
          <w:numId w:val="1"/>
        </w:numPr>
        <w:pBdr>
          <w:between w:val="nil"/>
        </w:pBdr>
        <w:spacing w:line="360" w:lineRule="auto"/>
        <w:jc w:val="both"/>
        <w:rPr>
          <w:rFonts w:ascii="Garamond" w:eastAsia="Times New Roman" w:hAnsi="Garamond" w:cs="Tahoma"/>
          <w:color w:val="000000"/>
          <w:lang w:eastAsia="en-IN"/>
        </w:rPr>
      </w:pPr>
      <w:r w:rsidRPr="00A5593E">
        <w:rPr>
          <w:rFonts w:ascii="Garamond" w:eastAsia="Times New Roman" w:hAnsi="Garamond" w:cs="Tahoma"/>
          <w:color w:val="000000"/>
          <w:lang w:eastAsia="en-IN"/>
        </w:rPr>
        <w:lastRenderedPageBreak/>
        <w:t xml:space="preserve">Gross funds mobilised by open-ended schemes during December 2021 was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 9,14,252 crore as against redemption/repurchase of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 9,18,787 crore, resulting in a net outflow of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 4,535 crore from open-ended schemes. Of gross fund mobilisation,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8,30,309 crore was mobilised through income/debt oriented schemes,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42,805 crore through growth/equity oriented schemes,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 17,889 crore through hybrid schemes,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311 crore through solution oriented schemes and </w:t>
      </w:r>
      <w:r w:rsidRPr="00A5593E">
        <w:rPr>
          <w:rFonts w:ascii="Times New Roman" w:eastAsia="Times New Roman" w:hAnsi="Times New Roman"/>
          <w:color w:val="000000"/>
          <w:lang w:eastAsia="en-IN"/>
        </w:rPr>
        <w:t>₹</w:t>
      </w:r>
      <w:r w:rsidRPr="00A5593E">
        <w:rPr>
          <w:rFonts w:ascii="Garamond" w:eastAsia="Times New Roman" w:hAnsi="Garamond" w:cs="Tahoma"/>
          <w:color w:val="000000"/>
          <w:lang w:eastAsia="en-IN"/>
        </w:rPr>
        <w:t xml:space="preserve">22,937 crore through other schemes. </w:t>
      </w:r>
    </w:p>
    <w:p w:rsidR="00E545F9" w:rsidRPr="002D088A" w:rsidRDefault="00E545F9" w:rsidP="00E545F9">
      <w:pPr>
        <w:numPr>
          <w:ilvl w:val="0"/>
          <w:numId w:val="1"/>
        </w:numPr>
        <w:pBdr>
          <w:between w:val="nil"/>
        </w:pBdr>
        <w:spacing w:line="360" w:lineRule="auto"/>
        <w:jc w:val="both"/>
        <w:rPr>
          <w:rFonts w:ascii="Garamond" w:eastAsia="Times New Roman" w:hAnsi="Garamond" w:cs="Tahoma"/>
          <w:color w:val="000000"/>
          <w:lang w:eastAsia="en-IN"/>
        </w:rPr>
      </w:pPr>
      <w:r w:rsidRPr="002D088A">
        <w:rPr>
          <w:rFonts w:ascii="Garamond" w:eastAsia="Times New Roman" w:hAnsi="Garamond" w:cs="Tahoma"/>
          <w:color w:val="000000"/>
          <w:lang w:eastAsia="en-IN"/>
        </w:rPr>
        <w:t xml:space="preserve">During </w:t>
      </w:r>
      <w:r w:rsidRPr="0075361A">
        <w:rPr>
          <w:rFonts w:ascii="Garamond" w:eastAsia="Times New Roman" w:hAnsi="Garamond" w:cs="Tahoma"/>
          <w:color w:val="000000"/>
          <w:lang w:eastAsia="en-IN"/>
        </w:rPr>
        <w:t>December</w:t>
      </w:r>
      <w:r w:rsidRPr="002D088A">
        <w:rPr>
          <w:rFonts w:ascii="Garamond" w:eastAsia="Times New Roman" w:hAnsi="Garamond" w:cs="Tahoma"/>
          <w:color w:val="000000"/>
          <w:lang w:eastAsia="en-IN"/>
        </w:rPr>
        <w:t xml:space="preserve"> 2021, </w:t>
      </w:r>
      <w:r w:rsidRPr="002D088A">
        <w:rPr>
          <w:rFonts w:ascii="Times New Roman" w:eastAsia="Times New Roman" w:hAnsi="Times New Roman"/>
          <w:color w:val="000000"/>
          <w:lang w:eastAsia="en-IN"/>
        </w:rPr>
        <w:t>₹</w:t>
      </w:r>
      <w:r>
        <w:rPr>
          <w:rFonts w:ascii="Times New Roman" w:eastAsia="Times New Roman" w:hAnsi="Times New Roman"/>
          <w:color w:val="000000"/>
          <w:lang w:eastAsia="en-IN"/>
        </w:rPr>
        <w:t xml:space="preserve"> </w:t>
      </w:r>
      <w:r>
        <w:rPr>
          <w:rFonts w:ascii="Garamond" w:eastAsia="Times New Roman" w:hAnsi="Garamond" w:cs="Tahoma"/>
          <w:color w:val="000000"/>
          <w:lang w:eastAsia="en-IN"/>
        </w:rPr>
        <w:t>356</w:t>
      </w:r>
      <w:r w:rsidRPr="002D088A">
        <w:rPr>
          <w:rFonts w:ascii="Garamond" w:eastAsia="Times New Roman" w:hAnsi="Garamond" w:cs="Tahoma"/>
          <w:color w:val="000000"/>
          <w:lang w:eastAsia="en-IN"/>
        </w:rPr>
        <w:t xml:space="preserve"> crore were matured/ repurchased</w:t>
      </w:r>
      <w:r w:rsidRPr="002D088A">
        <w:rPr>
          <w:rFonts w:ascii="Garamond" w:eastAsia="Times New Roman" w:hAnsi="Garamond" w:cs="Tahoma"/>
          <w:color w:val="000000"/>
          <w:vertAlign w:val="superscript"/>
          <w:lang w:eastAsia="en-IN"/>
        </w:rPr>
        <w:footnoteReference w:id="6"/>
      </w:r>
      <w:r w:rsidRPr="002D088A">
        <w:rPr>
          <w:rFonts w:ascii="Garamond" w:eastAsia="Times New Roman" w:hAnsi="Garamond" w:cs="Tahoma"/>
          <w:color w:val="000000"/>
          <w:lang w:eastAsia="en-IN"/>
        </w:rPr>
        <w:t xml:space="preserve"> by close-ended schemes while in the interval schemes, </w:t>
      </w:r>
      <w:r w:rsidRPr="002D088A">
        <w:rPr>
          <w:rFonts w:ascii="Times New Roman" w:eastAsia="Times New Roman" w:hAnsi="Times New Roman"/>
          <w:color w:val="000000"/>
          <w:lang w:eastAsia="en-IN"/>
        </w:rPr>
        <w:t>₹</w:t>
      </w:r>
      <w:r>
        <w:rPr>
          <w:rFonts w:ascii="Garamond" w:eastAsia="Times New Roman" w:hAnsi="Garamond" w:cs="Tahoma"/>
          <w:color w:val="000000"/>
          <w:lang w:eastAsia="en-IN"/>
        </w:rPr>
        <w:t>1.4</w:t>
      </w:r>
      <w:r w:rsidRPr="002D088A">
        <w:rPr>
          <w:rFonts w:ascii="Garamond" w:eastAsia="Times New Roman" w:hAnsi="Garamond" w:cs="Tahoma"/>
          <w:color w:val="000000"/>
          <w:lang w:eastAsia="en-IN"/>
        </w:rPr>
        <w:t xml:space="preserve"> crore were matured/redeemed.  </w:t>
      </w:r>
    </w:p>
    <w:p w:rsidR="00E545F9" w:rsidRPr="002D088A" w:rsidRDefault="00E545F9" w:rsidP="00E545F9">
      <w:pPr>
        <w:numPr>
          <w:ilvl w:val="0"/>
          <w:numId w:val="1"/>
        </w:numPr>
        <w:pBdr>
          <w:between w:val="nil"/>
        </w:pBdr>
        <w:spacing w:line="360" w:lineRule="auto"/>
        <w:jc w:val="both"/>
        <w:rPr>
          <w:rFonts w:ascii="Garamond" w:eastAsia="Times New Roman" w:hAnsi="Garamond" w:cs="Tahoma"/>
          <w:color w:val="000000"/>
          <w:lang w:eastAsia="en-IN"/>
        </w:rPr>
      </w:pPr>
      <w:r w:rsidRPr="002D088A">
        <w:rPr>
          <w:rFonts w:ascii="Garamond" w:eastAsia="Times New Roman" w:hAnsi="Garamond" w:cs="Tahoma"/>
          <w:color w:val="000000"/>
          <w:lang w:eastAsia="en-IN"/>
        </w:rPr>
        <w:t xml:space="preserve">The cumulative net assets under management of mutual funds increased marginally by </w:t>
      </w:r>
      <w:r>
        <w:rPr>
          <w:rFonts w:ascii="Garamond" w:eastAsia="Times New Roman" w:hAnsi="Garamond" w:cs="Tahoma"/>
          <w:color w:val="000000"/>
          <w:lang w:eastAsia="en-IN"/>
        </w:rPr>
        <w:t xml:space="preserve">1.04 </w:t>
      </w:r>
      <w:r w:rsidRPr="002D088A">
        <w:rPr>
          <w:rFonts w:ascii="Garamond" w:eastAsia="Times New Roman" w:hAnsi="Garamond" w:cs="Tahoma"/>
          <w:color w:val="000000"/>
          <w:lang w:eastAsia="en-IN"/>
        </w:rPr>
        <w:t xml:space="preserve">per cent to  </w:t>
      </w:r>
      <w:r w:rsidRPr="002D088A">
        <w:rPr>
          <w:rFonts w:ascii="Times New Roman" w:eastAsia="Times New Roman" w:hAnsi="Times New Roman"/>
          <w:color w:val="000000"/>
          <w:lang w:eastAsia="en-IN"/>
        </w:rPr>
        <w:t>₹</w:t>
      </w:r>
      <w:r>
        <w:rPr>
          <w:rFonts w:ascii="Garamond" w:eastAsia="Times New Roman" w:hAnsi="Garamond" w:cs="Tahoma"/>
          <w:color w:val="000000"/>
          <w:lang w:eastAsia="en-IN"/>
        </w:rPr>
        <w:t>37.73</w:t>
      </w:r>
      <w:r w:rsidRPr="002D088A">
        <w:rPr>
          <w:rFonts w:ascii="Garamond" w:eastAsia="Times New Roman" w:hAnsi="Garamond" w:cs="Tahoma"/>
          <w:color w:val="000000"/>
          <w:lang w:eastAsia="en-IN"/>
        </w:rPr>
        <w:t xml:space="preserve"> lakh crore as at the end of </w:t>
      </w:r>
      <w:r>
        <w:rPr>
          <w:rFonts w:ascii="Garamond" w:eastAsia="Times New Roman" w:hAnsi="Garamond" w:cs="Tahoma"/>
          <w:color w:val="000000"/>
          <w:lang w:eastAsia="en-IN"/>
        </w:rPr>
        <w:t xml:space="preserve">December 2021, driven by record inflow of </w:t>
      </w:r>
      <w:r w:rsidRPr="002D088A">
        <w:rPr>
          <w:rFonts w:ascii="Times New Roman" w:eastAsia="Times New Roman" w:hAnsi="Times New Roman"/>
          <w:color w:val="000000"/>
          <w:lang w:eastAsia="en-IN"/>
        </w:rPr>
        <w:t>₹</w:t>
      </w:r>
      <w:r>
        <w:rPr>
          <w:rFonts w:ascii="Garamond" w:eastAsia="Times New Roman" w:hAnsi="Garamond" w:cs="Tahoma"/>
          <w:color w:val="000000"/>
          <w:lang w:eastAsia="en-IN"/>
        </w:rPr>
        <w:t>25,082 crore in</w:t>
      </w:r>
      <w:r w:rsidR="001D1700">
        <w:rPr>
          <w:rFonts w:ascii="Garamond" w:eastAsia="Times New Roman" w:hAnsi="Garamond" w:cs="Tahoma"/>
          <w:color w:val="000000"/>
          <w:lang w:eastAsia="en-IN"/>
        </w:rPr>
        <w:t>to</w:t>
      </w:r>
      <w:r>
        <w:rPr>
          <w:rFonts w:ascii="Garamond" w:eastAsia="Times New Roman" w:hAnsi="Garamond" w:cs="Tahoma"/>
          <w:color w:val="000000"/>
          <w:lang w:eastAsia="en-IN"/>
        </w:rPr>
        <w:t xml:space="preserve"> equity oriented schemes during the month.</w:t>
      </w:r>
    </w:p>
    <w:p w:rsidR="00E545F9" w:rsidRPr="00D42444" w:rsidRDefault="00E545F9" w:rsidP="00E545F9">
      <w:pPr>
        <w:numPr>
          <w:ilvl w:val="0"/>
          <w:numId w:val="1"/>
        </w:numPr>
        <w:pBdr>
          <w:between w:val="nil"/>
        </w:pBdr>
        <w:spacing w:line="360" w:lineRule="auto"/>
        <w:jc w:val="both"/>
        <w:rPr>
          <w:rFonts w:ascii="Garamond" w:eastAsia="Times New Roman" w:hAnsi="Garamond" w:cs="Tahoma"/>
          <w:color w:val="000000"/>
          <w:lang w:eastAsia="en-IN"/>
        </w:rPr>
      </w:pPr>
      <w:r w:rsidRPr="00D42444">
        <w:rPr>
          <w:rFonts w:ascii="Garamond" w:eastAsia="Times New Roman" w:hAnsi="Garamond" w:cs="Tahoma"/>
          <w:color w:val="000000"/>
          <w:lang w:eastAsia="en-IN"/>
        </w:rPr>
        <w:t xml:space="preserve">In the secondary market, during December 2021, mutual funds deployed </w:t>
      </w:r>
      <w:r w:rsidRPr="00D42444">
        <w:rPr>
          <w:rFonts w:ascii="Times New Roman" w:eastAsia="Times New Roman" w:hAnsi="Times New Roman"/>
          <w:color w:val="000000"/>
          <w:lang w:eastAsia="en-IN"/>
        </w:rPr>
        <w:t>₹</w:t>
      </w:r>
      <w:r w:rsidRPr="00D42444">
        <w:rPr>
          <w:rFonts w:ascii="Garamond" w:eastAsia="Times New Roman" w:hAnsi="Garamond" w:cs="Tahoma"/>
          <w:color w:val="000000"/>
          <w:lang w:eastAsia="en-IN"/>
        </w:rPr>
        <w:t xml:space="preserve">24,207 crore in equity schemes and </w:t>
      </w:r>
      <w:r w:rsidRPr="00D42444">
        <w:rPr>
          <w:rFonts w:ascii="Times New Roman" w:eastAsia="Times New Roman" w:hAnsi="Times New Roman"/>
          <w:color w:val="000000"/>
          <w:lang w:eastAsia="en-IN"/>
        </w:rPr>
        <w:t>₹</w:t>
      </w:r>
      <w:r w:rsidRPr="00D42444">
        <w:rPr>
          <w:rFonts w:ascii="Garamond" w:eastAsia="Times New Roman" w:hAnsi="Garamond" w:cs="Tahoma"/>
          <w:color w:val="000000"/>
          <w:lang w:eastAsia="en-IN"/>
        </w:rPr>
        <w:t>1</w:t>
      </w:r>
      <w:r>
        <w:rPr>
          <w:rFonts w:ascii="Garamond" w:eastAsia="Times New Roman" w:hAnsi="Garamond" w:cs="Tahoma"/>
          <w:color w:val="000000"/>
          <w:lang w:eastAsia="en-IN"/>
        </w:rPr>
        <w:t>,963</w:t>
      </w:r>
      <w:r w:rsidRPr="00D42444">
        <w:rPr>
          <w:rFonts w:ascii="Garamond" w:eastAsia="Times New Roman" w:hAnsi="Garamond" w:cs="Tahoma"/>
          <w:color w:val="000000"/>
          <w:lang w:eastAsia="en-IN"/>
        </w:rPr>
        <w:t xml:space="preserve"> crore in debt schemes.</w:t>
      </w:r>
    </w:p>
    <w:p w:rsidR="00E545F9" w:rsidRDefault="00E545F9" w:rsidP="00E545F9">
      <w:pPr>
        <w:pBdr>
          <w:between w:val="nil"/>
        </w:pBdr>
        <w:spacing w:line="276" w:lineRule="auto"/>
        <w:ind w:left="720" w:hanging="720"/>
        <w:jc w:val="center"/>
        <w:rPr>
          <w:rFonts w:ascii="Garamond" w:eastAsia="Palatino Linotype" w:hAnsi="Garamond" w:cs="Palatino Linotype"/>
          <w:b/>
        </w:rPr>
      </w:pPr>
      <w:r w:rsidRPr="00891713">
        <w:rPr>
          <w:rFonts w:ascii="Garamond" w:eastAsia="Palatino Linotype" w:hAnsi="Garamond" w:cs="Palatino Linotype"/>
          <w:b/>
        </w:rPr>
        <w:t>Figure 11: Trends in Mutual Funds Transactions in Secondary Market (</w:t>
      </w:r>
      <w:r w:rsidRPr="00891713">
        <w:rPr>
          <w:rFonts w:ascii="Times New Roman" w:eastAsia="Palatino Linotype" w:hAnsi="Times New Roman"/>
          <w:b/>
        </w:rPr>
        <w:t>₹</w:t>
      </w:r>
      <w:r w:rsidRPr="00891713">
        <w:rPr>
          <w:rFonts w:ascii="Garamond" w:eastAsia="Palatino Linotype" w:hAnsi="Garamond" w:cs="Palatino Linotype"/>
          <w:b/>
        </w:rPr>
        <w:t xml:space="preserve"> crore)</w:t>
      </w:r>
    </w:p>
    <w:p w:rsidR="00E545F9" w:rsidRPr="00E22044" w:rsidRDefault="00DD1A9A" w:rsidP="00E545F9">
      <w:pPr>
        <w:pBdr>
          <w:between w:val="nil"/>
        </w:pBdr>
        <w:spacing w:line="276" w:lineRule="auto"/>
        <w:ind w:left="720" w:hanging="720"/>
        <w:jc w:val="center"/>
        <w:rPr>
          <w:rFonts w:ascii="Garamond" w:eastAsia="Palatino Linotype" w:hAnsi="Garamond" w:cs="Palatino Linotype"/>
          <w:b/>
        </w:rPr>
      </w:pPr>
      <w:r w:rsidRPr="00E22044">
        <w:rPr>
          <w:noProof/>
          <w:lang w:val="en-IN" w:eastAsia="en-IN" w:bidi="hi-IN"/>
        </w:rPr>
        <w:drawing>
          <wp:inline distT="0" distB="0" distL="0" distR="0">
            <wp:extent cx="5435600" cy="2451100"/>
            <wp:effectExtent l="0" t="0" r="12700" b="6350"/>
            <wp:docPr id="10"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45F9" w:rsidRPr="00E22044" w:rsidRDefault="00E545F9" w:rsidP="00E545F9">
      <w:pPr>
        <w:pBdr>
          <w:between w:val="nil"/>
        </w:pBdr>
        <w:spacing w:line="276" w:lineRule="auto"/>
        <w:ind w:left="720" w:hanging="720"/>
        <w:jc w:val="center"/>
        <w:rPr>
          <w:rFonts w:ascii="Garamond" w:eastAsia="Palatino Linotype" w:hAnsi="Garamond" w:cs="Palatino Linotype"/>
          <w:b/>
        </w:rPr>
      </w:pPr>
    </w:p>
    <w:p w:rsidR="00E545F9" w:rsidRPr="00E22044" w:rsidRDefault="00E545F9" w:rsidP="00E545F9">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E22044">
        <w:rPr>
          <w:rFonts w:ascii="Garamond" w:eastAsia="Palatino Linotype" w:hAnsi="Garamond" w:cs="Palatino Linotype"/>
          <w:b/>
        </w:rPr>
        <w:t>Trends in Investments by the Foreign Portfolio Investors (FPIs)</w:t>
      </w:r>
    </w:p>
    <w:p w:rsidR="00E545F9" w:rsidRPr="00E22044" w:rsidRDefault="00E545F9" w:rsidP="00E545F9">
      <w:pPr>
        <w:widowControl w:val="0"/>
        <w:tabs>
          <w:tab w:val="left" w:pos="0"/>
        </w:tabs>
        <w:spacing w:line="276" w:lineRule="auto"/>
        <w:ind w:left="360"/>
        <w:jc w:val="both"/>
        <w:rPr>
          <w:rFonts w:ascii="Garamond" w:eastAsia="Palatino Linotype" w:hAnsi="Garamond" w:cs="Palatino Linotype"/>
          <w:b/>
        </w:rPr>
      </w:pPr>
    </w:p>
    <w:p w:rsidR="00E545F9" w:rsidRPr="00DE25B1" w:rsidRDefault="00E545F9" w:rsidP="00CE0A9B">
      <w:pPr>
        <w:numPr>
          <w:ilvl w:val="0"/>
          <w:numId w:val="1"/>
        </w:numPr>
        <w:pBdr>
          <w:between w:val="nil"/>
        </w:pBdr>
        <w:shd w:val="clear" w:color="auto" w:fill="FFFFFF" w:themeFill="background1"/>
        <w:spacing w:line="360" w:lineRule="auto"/>
        <w:jc w:val="both"/>
        <w:rPr>
          <w:rFonts w:ascii="Garamond" w:eastAsia="Palatino Linotype" w:hAnsi="Garamond" w:cs="Palatino Linotype"/>
        </w:rPr>
      </w:pPr>
      <w:r w:rsidRPr="00DE25B1">
        <w:rPr>
          <w:rFonts w:ascii="Garamond" w:eastAsia="Palatino Linotype" w:hAnsi="Garamond" w:cs="Palatino Linotype"/>
        </w:rPr>
        <w:t xml:space="preserve">The foreign portfolio outflow continued in December 2021 as FPIs withdrew a total of </w:t>
      </w:r>
      <w:r w:rsidRPr="00DE25B1">
        <w:rPr>
          <w:rFonts w:ascii="Times New Roman" w:eastAsia="Palatino Linotype" w:hAnsi="Times New Roman"/>
        </w:rPr>
        <w:t>₹</w:t>
      </w:r>
      <w:r w:rsidRPr="00DE25B1">
        <w:rPr>
          <w:rFonts w:ascii="Garamond" w:eastAsia="Palatino Linotype" w:hAnsi="Garamond" w:cs="Palatino Linotype"/>
        </w:rPr>
        <w:t xml:space="preserve"> 29,702 crore from the Indian securities market, due to both equity and debt segment</w:t>
      </w:r>
      <w:r w:rsidR="00A43A0C" w:rsidRPr="00DE25B1">
        <w:rPr>
          <w:rFonts w:ascii="Garamond" w:eastAsia="Palatino Linotype" w:hAnsi="Garamond" w:cs="Palatino Linotype"/>
        </w:rPr>
        <w:t xml:space="preserve"> (excluding</w:t>
      </w:r>
      <w:r w:rsidR="00DC1E68" w:rsidRPr="00DE25B1">
        <w:rPr>
          <w:rFonts w:ascii="Garamond" w:eastAsia="Palatino Linotype" w:hAnsi="Garamond" w:cs="Palatino Linotype"/>
        </w:rPr>
        <w:t xml:space="preserve"> debt VRR and hybrid segment)</w:t>
      </w:r>
      <w:r w:rsidRPr="00DE25B1">
        <w:rPr>
          <w:rFonts w:ascii="Garamond" w:eastAsia="Palatino Linotype" w:hAnsi="Garamond" w:cs="Palatino Linotype"/>
        </w:rPr>
        <w:t xml:space="preserve"> witnessing net outflow of </w:t>
      </w:r>
      <w:r w:rsidRPr="00DE25B1">
        <w:rPr>
          <w:rFonts w:ascii="Times New Roman" w:eastAsia="Palatino Linotype" w:hAnsi="Times New Roman"/>
        </w:rPr>
        <w:t>₹</w:t>
      </w:r>
      <w:r w:rsidRPr="00DE25B1">
        <w:rPr>
          <w:rFonts w:ascii="Garamond" w:eastAsia="Palatino Linotype" w:hAnsi="Garamond" w:cs="Palatino Linotype"/>
        </w:rPr>
        <w:t>30,</w:t>
      </w:r>
      <w:r w:rsidR="00F34F76" w:rsidRPr="00DE25B1">
        <w:rPr>
          <w:rFonts w:ascii="Garamond" w:eastAsia="Palatino Linotype" w:hAnsi="Garamond" w:cs="Palatino Linotype"/>
        </w:rPr>
        <w:t>825 crore during December 2021.</w:t>
      </w:r>
    </w:p>
    <w:p w:rsidR="00E545F9" w:rsidRPr="006A6BBB" w:rsidRDefault="00E545F9" w:rsidP="00E545F9">
      <w:pPr>
        <w:numPr>
          <w:ilvl w:val="0"/>
          <w:numId w:val="1"/>
        </w:numPr>
        <w:pBdr>
          <w:between w:val="nil"/>
        </w:pBdr>
        <w:spacing w:line="360" w:lineRule="auto"/>
        <w:jc w:val="both"/>
        <w:rPr>
          <w:rFonts w:ascii="Garamond" w:eastAsia="Palatino Linotype" w:hAnsi="Garamond" w:cs="Palatino Linotype"/>
        </w:rPr>
      </w:pPr>
      <w:r w:rsidRPr="00DE25B1">
        <w:rPr>
          <w:rFonts w:ascii="Garamond" w:eastAsia="Palatino Linotype" w:hAnsi="Garamond" w:cs="Palatino Linotype"/>
        </w:rPr>
        <w:t xml:space="preserve">However, a contrasting trend was seen within equity segment as FPI investment in equity via primary market route witnessed a significant net inflow of </w:t>
      </w:r>
      <w:r w:rsidRPr="00DE25B1">
        <w:rPr>
          <w:rFonts w:ascii="Times New Roman" w:eastAsia="Palatino Linotype" w:hAnsi="Times New Roman"/>
        </w:rPr>
        <w:t>₹</w:t>
      </w:r>
      <w:r w:rsidRPr="00DE25B1">
        <w:rPr>
          <w:rFonts w:ascii="Garamond" w:eastAsia="Palatino Linotype" w:hAnsi="Garamond" w:cs="Palatino Linotype"/>
        </w:rPr>
        <w:t>13,664 crore. This reflects the increasing</w:t>
      </w:r>
      <w:r w:rsidRPr="006A6BBB">
        <w:rPr>
          <w:rFonts w:ascii="Garamond" w:eastAsia="Palatino Linotype" w:hAnsi="Garamond" w:cs="Palatino Linotype"/>
        </w:rPr>
        <w:t xml:space="preserve"> participation of FPIs in IPOs in recent times. In the secondary market, FPIs remained net sellers as demonstrated by net outflow of </w:t>
      </w:r>
      <w:r w:rsidRPr="006A6BBB">
        <w:rPr>
          <w:rFonts w:ascii="Times New Roman" w:eastAsia="Palatino Linotype" w:hAnsi="Times New Roman"/>
        </w:rPr>
        <w:t>₹</w:t>
      </w:r>
      <w:r w:rsidRPr="006A6BBB">
        <w:rPr>
          <w:rFonts w:ascii="Garamond" w:eastAsia="Palatino Linotype" w:hAnsi="Garamond" w:cs="Palatino Linotype"/>
        </w:rPr>
        <w:t xml:space="preserve"> 32,690 crore.</w:t>
      </w:r>
    </w:p>
    <w:p w:rsidR="00E545F9" w:rsidRPr="006A6BBB" w:rsidRDefault="00E545F9" w:rsidP="00E545F9">
      <w:pPr>
        <w:numPr>
          <w:ilvl w:val="0"/>
          <w:numId w:val="1"/>
        </w:numPr>
        <w:pBdr>
          <w:between w:val="nil"/>
        </w:pBdr>
        <w:spacing w:line="360" w:lineRule="auto"/>
        <w:jc w:val="both"/>
        <w:rPr>
          <w:rFonts w:ascii="Garamond" w:eastAsia="Palatino Linotype" w:hAnsi="Garamond" w:cs="Palatino Linotype"/>
        </w:rPr>
      </w:pPr>
      <w:r w:rsidRPr="006A6BBB">
        <w:rPr>
          <w:rFonts w:ascii="Garamond" w:eastAsia="Palatino Linotype" w:hAnsi="Garamond" w:cs="Palatino Linotype"/>
        </w:rPr>
        <w:lastRenderedPageBreak/>
        <w:t xml:space="preserve">The </w:t>
      </w:r>
      <w:r w:rsidRPr="006A6BBB">
        <w:rPr>
          <w:rFonts w:ascii="Garamond" w:eastAsia="Palatino Linotype" w:hAnsi="Garamond" w:cs="Palatino Linotype"/>
          <w:color w:val="000000"/>
        </w:rPr>
        <w:t xml:space="preserve">AUC of FPIs in India, as at the end of December 2021 was </w:t>
      </w:r>
      <w:r w:rsidRPr="006A6BBB">
        <w:rPr>
          <w:rFonts w:ascii="Times New Roman" w:eastAsia="Palatino Linotype" w:hAnsi="Times New Roman"/>
          <w:color w:val="000000"/>
        </w:rPr>
        <w:t>₹</w:t>
      </w:r>
      <w:r w:rsidRPr="006A6BBB">
        <w:rPr>
          <w:rFonts w:ascii="Garamond" w:eastAsia="Palatino Linotype" w:hAnsi="Garamond" w:cs="Palatino Linotype"/>
          <w:color w:val="000000"/>
        </w:rPr>
        <w:t xml:space="preserve">52,72,593 crore, out of which the notional value of offshore derivative instruments (ODIs) (including ODIs on derivatives) was </w:t>
      </w:r>
      <w:r w:rsidRPr="006A6BBB">
        <w:rPr>
          <w:rFonts w:ascii="Times New Roman" w:eastAsia="Palatino Linotype" w:hAnsi="Times New Roman"/>
          <w:color w:val="000000"/>
        </w:rPr>
        <w:t>₹</w:t>
      </w:r>
      <w:r w:rsidRPr="006A6BBB">
        <w:rPr>
          <w:rFonts w:ascii="Garamond" w:eastAsia="Palatino Linotype" w:hAnsi="Garamond"/>
          <w:color w:val="000000"/>
        </w:rPr>
        <w:t xml:space="preserve"> </w:t>
      </w:r>
      <w:r w:rsidRPr="006A6BBB">
        <w:rPr>
          <w:rFonts w:ascii="Garamond" w:eastAsia="Palatino Linotype" w:hAnsi="Garamond" w:cs="Palatino Linotype"/>
        </w:rPr>
        <w:t xml:space="preserve">95,501 </w:t>
      </w:r>
      <w:r w:rsidRPr="006A6BBB">
        <w:rPr>
          <w:rFonts w:ascii="Garamond" w:eastAsia="Palatino Linotype" w:hAnsi="Garamond" w:cs="Palatino Linotype"/>
          <w:color w:val="000000"/>
        </w:rPr>
        <w:t xml:space="preserve">crore which constitutes 1.81 per cent of total AUC of FPIs.  </w:t>
      </w:r>
    </w:p>
    <w:p w:rsidR="00E545F9" w:rsidRDefault="00E545F9" w:rsidP="00E545F9">
      <w:pPr>
        <w:pBdr>
          <w:between w:val="nil"/>
        </w:pBdr>
        <w:spacing w:line="276" w:lineRule="auto"/>
        <w:ind w:left="720"/>
        <w:rPr>
          <w:rFonts w:ascii="Garamond" w:eastAsia="Palatino Linotype" w:hAnsi="Garamond" w:cs="Palatino Linotype"/>
          <w:b/>
        </w:rPr>
      </w:pPr>
    </w:p>
    <w:p w:rsidR="00E545F9" w:rsidRDefault="00E545F9" w:rsidP="00E545F9">
      <w:pPr>
        <w:pBdr>
          <w:between w:val="nil"/>
        </w:pBdr>
        <w:spacing w:line="276" w:lineRule="auto"/>
        <w:ind w:left="720"/>
        <w:rPr>
          <w:rFonts w:ascii="Garamond" w:eastAsia="Palatino Linotype" w:hAnsi="Garamond" w:cs="Palatino Linotype"/>
          <w:b/>
        </w:rPr>
      </w:pPr>
      <w:r w:rsidRPr="00891713">
        <w:rPr>
          <w:rFonts w:ascii="Garamond" w:eastAsia="Palatino Linotype" w:hAnsi="Garamond" w:cs="Palatino Linotype"/>
          <w:b/>
        </w:rPr>
        <w:t>Figure 12: Trends in FPIs’ Investments</w:t>
      </w:r>
    </w:p>
    <w:p w:rsidR="00E545F9" w:rsidRDefault="00DD1A9A" w:rsidP="00E545F9">
      <w:pPr>
        <w:pBdr>
          <w:between w:val="nil"/>
        </w:pBdr>
        <w:spacing w:line="276" w:lineRule="auto"/>
        <w:ind w:left="720"/>
        <w:rPr>
          <w:rFonts w:ascii="Garamond" w:eastAsia="Palatino Linotype" w:hAnsi="Garamond" w:cs="Palatino Linotype"/>
          <w:b/>
        </w:rPr>
      </w:pPr>
      <w:r w:rsidRPr="0027682F">
        <w:rPr>
          <w:noProof/>
          <w:lang w:val="en-IN" w:eastAsia="en-IN" w:bidi="hi-IN"/>
        </w:rPr>
        <w:drawing>
          <wp:inline distT="0" distB="0" distL="0" distR="0">
            <wp:extent cx="5632450" cy="2184400"/>
            <wp:effectExtent l="0" t="0" r="6350" b="635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45F9" w:rsidRDefault="00E545F9" w:rsidP="00E545F9">
      <w:pPr>
        <w:ind w:left="567"/>
        <w:rPr>
          <w:rFonts w:ascii="Garamond" w:eastAsia="Palatino Linotype" w:hAnsi="Garamond" w:cs="Palatino Linotype"/>
          <w:bCs/>
          <w:szCs w:val="22"/>
        </w:rPr>
      </w:pP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NSDL</w:t>
      </w:r>
    </w:p>
    <w:p w:rsidR="00E545F9" w:rsidRPr="00891713" w:rsidRDefault="00E545F9" w:rsidP="00E545F9">
      <w:pPr>
        <w:ind w:left="567"/>
        <w:rPr>
          <w:rFonts w:ascii="Garamond" w:eastAsia="Palatino Linotype" w:hAnsi="Garamond" w:cs="Palatino Linotype"/>
          <w:b/>
          <w:szCs w:val="22"/>
        </w:rPr>
      </w:pPr>
    </w:p>
    <w:p w:rsidR="00E545F9" w:rsidRPr="001F27C3" w:rsidRDefault="00E545F9" w:rsidP="00E545F9">
      <w:pPr>
        <w:widowControl w:val="0"/>
        <w:numPr>
          <w:ilvl w:val="0"/>
          <w:numId w:val="2"/>
        </w:numPr>
        <w:spacing w:line="360" w:lineRule="auto"/>
        <w:ind w:left="567" w:hanging="567"/>
        <w:jc w:val="both"/>
        <w:rPr>
          <w:rFonts w:ascii="Garamond" w:eastAsia="Palatino Linotype" w:hAnsi="Garamond" w:cs="Palatino Linotype"/>
          <w:b/>
          <w:color w:val="222A35"/>
        </w:rPr>
      </w:pPr>
      <w:bookmarkStart w:id="3" w:name="_30j0zll" w:colFirst="0" w:colLast="0"/>
      <w:bookmarkEnd w:id="3"/>
      <w:r w:rsidRPr="001F27C3">
        <w:rPr>
          <w:rFonts w:ascii="Garamond" w:eastAsia="Palatino Linotype" w:hAnsi="Garamond" w:cs="Palatino Linotype"/>
          <w:b/>
          <w:color w:val="222A35"/>
        </w:rPr>
        <w:t xml:space="preserve">Trends in Portfolio Management Services </w:t>
      </w:r>
    </w:p>
    <w:p w:rsidR="00E545F9" w:rsidRPr="00557F52" w:rsidRDefault="00E545F9" w:rsidP="00E545F9">
      <w:pPr>
        <w:numPr>
          <w:ilvl w:val="0"/>
          <w:numId w:val="7"/>
        </w:numPr>
        <w:pBdr>
          <w:between w:val="nil"/>
        </w:pBdr>
        <w:spacing w:after="200" w:line="360" w:lineRule="auto"/>
        <w:ind w:left="851" w:hanging="284"/>
        <w:contextualSpacing/>
        <w:jc w:val="both"/>
        <w:rPr>
          <w:rFonts w:ascii="Garamond" w:eastAsia="Palatino Linotype" w:hAnsi="Garamond" w:cs="Palatino Linotype"/>
          <w:lang w:val="en-US"/>
        </w:rPr>
      </w:pPr>
      <w:r w:rsidRPr="00557F52">
        <w:rPr>
          <w:rFonts w:ascii="Garamond" w:eastAsia="Palatino Linotype" w:hAnsi="Garamond" w:cs="Palatino Linotype"/>
          <w:lang w:val="en-US"/>
        </w:rPr>
        <w:t xml:space="preserve">As at end of </w:t>
      </w:r>
      <w:r w:rsidR="009863DC" w:rsidRPr="00557F52">
        <w:rPr>
          <w:rFonts w:ascii="Garamond" w:eastAsia="Palatino Linotype" w:hAnsi="Garamond" w:cs="Palatino Linotype"/>
          <w:lang w:val="en-US"/>
        </w:rPr>
        <w:t>Decem</w:t>
      </w:r>
      <w:r w:rsidRPr="00557F52">
        <w:rPr>
          <w:rFonts w:ascii="Garamond" w:eastAsia="Palatino Linotype" w:hAnsi="Garamond" w:cs="Palatino Linotype"/>
          <w:lang w:val="en-US"/>
        </w:rPr>
        <w:t xml:space="preserve">ber 2021, AUM of the portfolio management industry stood at </w:t>
      </w:r>
      <w:r w:rsidRPr="00557F52">
        <w:rPr>
          <w:rFonts w:ascii="Times New Roman" w:eastAsia="Palatino Linotype" w:hAnsi="Times New Roman"/>
          <w:lang w:val="en-US"/>
        </w:rPr>
        <w:t>₹</w:t>
      </w:r>
      <w:r w:rsidRPr="00557F52">
        <w:rPr>
          <w:rFonts w:ascii="Garamond" w:eastAsia="Palatino Linotype" w:hAnsi="Garamond"/>
          <w:lang w:val="en-US"/>
        </w:rPr>
        <w:t xml:space="preserve"> 2</w:t>
      </w:r>
      <w:r w:rsidR="009863DC" w:rsidRPr="00557F52">
        <w:rPr>
          <w:rFonts w:ascii="Garamond" w:eastAsia="Palatino Linotype" w:hAnsi="Garamond"/>
          <w:lang w:val="en-US"/>
        </w:rPr>
        <w:t>3.54</w:t>
      </w:r>
      <w:r w:rsidRPr="00557F52">
        <w:rPr>
          <w:rFonts w:ascii="Garamond" w:eastAsia="Palatino Linotype" w:hAnsi="Garamond"/>
          <w:lang w:val="en-US"/>
        </w:rPr>
        <w:t xml:space="preserve"> lakh crore as compared to </w:t>
      </w:r>
      <w:r w:rsidR="009863DC" w:rsidRPr="00557F52">
        <w:rPr>
          <w:rFonts w:ascii="Times New Roman" w:eastAsia="Palatino Linotype" w:hAnsi="Times New Roman"/>
          <w:lang w:val="en-US"/>
        </w:rPr>
        <w:t>₹</w:t>
      </w:r>
      <w:r w:rsidR="009863DC" w:rsidRPr="00557F52">
        <w:rPr>
          <w:rFonts w:ascii="Garamond" w:eastAsia="Palatino Linotype" w:hAnsi="Garamond"/>
          <w:lang w:val="en-US"/>
        </w:rPr>
        <w:t xml:space="preserve"> 22.94 </w:t>
      </w:r>
      <w:r w:rsidRPr="00557F52">
        <w:rPr>
          <w:rFonts w:ascii="Garamond" w:eastAsia="Palatino Linotype" w:hAnsi="Garamond" w:cs="Palatino Linotype"/>
          <w:lang w:val="en-US"/>
        </w:rPr>
        <w:t xml:space="preserve">lakh crore at the end of </w:t>
      </w:r>
      <w:r w:rsidR="009863DC" w:rsidRPr="00557F52">
        <w:rPr>
          <w:rFonts w:ascii="Garamond" w:eastAsia="Palatino Linotype" w:hAnsi="Garamond" w:cs="Palatino Linotype"/>
          <w:lang w:val="en-US"/>
        </w:rPr>
        <w:t>November 2021</w:t>
      </w:r>
      <w:r w:rsidRPr="00557F52">
        <w:rPr>
          <w:rFonts w:ascii="Garamond" w:eastAsia="Palatino Linotype" w:hAnsi="Garamond" w:cs="Palatino Linotype"/>
          <w:lang w:val="en-US"/>
        </w:rPr>
        <w:t>. On a year on year basis the total AUM of portfolio management ser</w:t>
      </w:r>
      <w:r w:rsidR="00FD081E" w:rsidRPr="00557F52">
        <w:rPr>
          <w:rFonts w:ascii="Garamond" w:eastAsia="Palatino Linotype" w:hAnsi="Garamond" w:cs="Palatino Linotype"/>
          <w:lang w:val="en-US"/>
        </w:rPr>
        <w:t>vices witnessed a growth of 21.2</w:t>
      </w:r>
      <w:r w:rsidRPr="00557F52">
        <w:rPr>
          <w:rFonts w:ascii="Garamond" w:eastAsia="Palatino Linotype" w:hAnsi="Garamond" w:cs="Palatino Linotype"/>
          <w:lang w:val="en-US"/>
        </w:rPr>
        <w:t xml:space="preserve"> per cent. </w:t>
      </w:r>
    </w:p>
    <w:p w:rsidR="00E545F9" w:rsidRPr="00557F52" w:rsidRDefault="00E545F9" w:rsidP="00BC3433">
      <w:pPr>
        <w:numPr>
          <w:ilvl w:val="0"/>
          <w:numId w:val="7"/>
        </w:numPr>
        <w:pBdr>
          <w:between w:val="nil"/>
        </w:pBdr>
        <w:spacing w:after="200" w:line="360" w:lineRule="auto"/>
        <w:ind w:left="851" w:hanging="284"/>
        <w:contextualSpacing/>
        <w:jc w:val="both"/>
        <w:rPr>
          <w:rFonts w:ascii="Garamond" w:eastAsia="Palatino Linotype" w:hAnsi="Garamond" w:cs="Palatino Linotype"/>
          <w:color w:val="000000"/>
          <w:lang w:val="en-US"/>
        </w:rPr>
      </w:pPr>
      <w:r w:rsidRPr="00557F52">
        <w:rPr>
          <w:rFonts w:ascii="Garamond" w:eastAsia="Palatino Linotype" w:hAnsi="Garamond" w:cs="Palatino Linotype"/>
          <w:color w:val="000000"/>
          <w:lang w:val="en-US"/>
        </w:rPr>
        <w:t xml:space="preserve">There were </w:t>
      </w:r>
      <w:r w:rsidR="00D8236F" w:rsidRPr="00557F52">
        <w:rPr>
          <w:rFonts w:ascii="Garamond" w:eastAsia="Palatino Linotype" w:hAnsi="Garamond" w:cs="Palatino Linotype"/>
          <w:color w:val="000000"/>
        </w:rPr>
        <w:t>1,34,682</w:t>
      </w:r>
      <w:r w:rsidRPr="00557F52">
        <w:rPr>
          <w:rFonts w:ascii="Garamond" w:eastAsia="Palatino Linotype" w:hAnsi="Garamond" w:cs="Palatino Linotype"/>
          <w:color w:val="000000"/>
          <w:lang w:val="en-US"/>
        </w:rPr>
        <w:t xml:space="preserve"> clients in portfolio management industry as at the end of </w:t>
      </w:r>
      <w:r w:rsidR="00D8236F" w:rsidRPr="00557F52">
        <w:rPr>
          <w:rFonts w:ascii="Garamond" w:eastAsia="Palatino Linotype" w:hAnsi="Garamond" w:cs="Palatino Linotype"/>
          <w:color w:val="000000"/>
          <w:lang w:val="en-US"/>
        </w:rPr>
        <w:t>December 2021, of which 1,25,017</w:t>
      </w:r>
      <w:r w:rsidRPr="00557F52">
        <w:rPr>
          <w:rFonts w:ascii="Garamond" w:eastAsia="Palatino Linotype" w:hAnsi="Garamond" w:cs="Palatino Linotype"/>
          <w:color w:val="000000"/>
          <w:lang w:val="en-US"/>
        </w:rPr>
        <w:t xml:space="preserve"> clients were of discre</w:t>
      </w:r>
      <w:r w:rsidR="00D8236F" w:rsidRPr="00557F52">
        <w:rPr>
          <w:rFonts w:ascii="Garamond" w:eastAsia="Palatino Linotype" w:hAnsi="Garamond" w:cs="Palatino Linotype"/>
          <w:color w:val="000000"/>
          <w:lang w:val="en-US"/>
        </w:rPr>
        <w:t>tionary services category, 7,812</w:t>
      </w:r>
      <w:r w:rsidRPr="00557F52">
        <w:rPr>
          <w:rFonts w:ascii="Garamond" w:eastAsia="Palatino Linotype" w:hAnsi="Garamond" w:cs="Palatino Linotype"/>
          <w:color w:val="000000"/>
          <w:lang w:val="en-US"/>
        </w:rPr>
        <w:t xml:space="preserve"> clients in non-discretio</w:t>
      </w:r>
      <w:r w:rsidR="00D8236F" w:rsidRPr="00557F52">
        <w:rPr>
          <w:rFonts w:ascii="Garamond" w:eastAsia="Palatino Linotype" w:hAnsi="Garamond" w:cs="Palatino Linotype"/>
          <w:color w:val="000000"/>
          <w:lang w:val="en-US"/>
        </w:rPr>
        <w:t>nary services category and 1,853</w:t>
      </w:r>
      <w:r w:rsidRPr="00557F52">
        <w:rPr>
          <w:rFonts w:ascii="Garamond" w:eastAsia="Palatino Linotype" w:hAnsi="Garamond" w:cs="Palatino Linotype"/>
          <w:color w:val="000000"/>
          <w:lang w:val="en-US"/>
        </w:rPr>
        <w:t xml:space="preserve"> clients availed advisory services of portfolio managers.</w:t>
      </w:r>
    </w:p>
    <w:p w:rsidR="00E545F9" w:rsidRPr="008E42C8" w:rsidRDefault="00E545F9" w:rsidP="00E545F9">
      <w:pPr>
        <w:pBdr>
          <w:between w:val="nil"/>
        </w:pBdr>
        <w:spacing w:after="200" w:line="360" w:lineRule="auto"/>
        <w:ind w:left="851"/>
        <w:contextualSpacing/>
        <w:jc w:val="both"/>
        <w:rPr>
          <w:rFonts w:ascii="Garamond" w:eastAsia="Palatino Linotype" w:hAnsi="Garamond" w:cs="Palatino Linotype"/>
          <w:color w:val="000000"/>
          <w:lang w:val="en-US"/>
        </w:rPr>
      </w:pPr>
    </w:p>
    <w:p w:rsidR="00E545F9" w:rsidRPr="00891713" w:rsidRDefault="00E545F9" w:rsidP="00E545F9">
      <w:pPr>
        <w:widowControl w:val="0"/>
        <w:numPr>
          <w:ilvl w:val="0"/>
          <w:numId w:val="2"/>
        </w:numPr>
        <w:spacing w:line="360" w:lineRule="auto"/>
        <w:rPr>
          <w:rFonts w:ascii="Garamond" w:eastAsia="Palatino Linotype" w:hAnsi="Garamond" w:cs="Palatino Linotype"/>
          <w:b/>
          <w:color w:val="222A35"/>
        </w:rPr>
      </w:pPr>
      <w:r w:rsidRPr="00891713">
        <w:rPr>
          <w:rFonts w:ascii="Garamond" w:eastAsia="Palatino Linotype" w:hAnsi="Garamond" w:cs="Palatino Linotype"/>
          <w:b/>
          <w:color w:val="222A35"/>
        </w:rPr>
        <w:t>Trends in Substantial Acquisition of Shares and Takeovers</w:t>
      </w:r>
    </w:p>
    <w:p w:rsidR="00E545F9" w:rsidRDefault="00E545F9" w:rsidP="00E545F9">
      <w:pPr>
        <w:spacing w:line="360" w:lineRule="auto"/>
        <w:ind w:left="720"/>
        <w:jc w:val="both"/>
        <w:rPr>
          <w:rFonts w:ascii="Garamond" w:eastAsia="Palatino Linotype" w:hAnsi="Garamond" w:cs="Palatino Linotype"/>
        </w:rPr>
      </w:pPr>
      <w:r w:rsidRPr="00891713">
        <w:rPr>
          <w:rFonts w:ascii="Garamond" w:eastAsia="Palatino Linotype" w:hAnsi="Garamond" w:cs="Palatino Linotype"/>
        </w:rPr>
        <w:t xml:space="preserve">During </w:t>
      </w:r>
      <w:r>
        <w:rPr>
          <w:rFonts w:ascii="Garamond" w:eastAsia="Palatino Linotype" w:hAnsi="Garamond" w:cs="Palatino Linotype"/>
        </w:rPr>
        <w:t>December 2021, five</w:t>
      </w:r>
      <w:r w:rsidRPr="00891713">
        <w:rPr>
          <w:rFonts w:ascii="Garamond" w:eastAsia="Palatino Linotype" w:hAnsi="Garamond" w:cs="Palatino Linotype"/>
        </w:rPr>
        <w:t xml:space="preserve"> open offers with offer value of </w:t>
      </w:r>
      <w:r w:rsidRPr="00891713">
        <w:rPr>
          <w:rFonts w:ascii="Times New Roman" w:eastAsia="Palatino Linotype" w:hAnsi="Times New Roman"/>
        </w:rPr>
        <w:t>₹</w:t>
      </w:r>
      <w:r>
        <w:rPr>
          <w:rFonts w:ascii="Times New Roman" w:eastAsia="Palatino Linotype" w:hAnsi="Times New Roman"/>
        </w:rPr>
        <w:t xml:space="preserve"> </w:t>
      </w:r>
      <w:r w:rsidRPr="00433F22">
        <w:rPr>
          <w:rFonts w:ascii="Garamond" w:eastAsia="Palatino Linotype" w:hAnsi="Garamond" w:cs="Palatino Linotype"/>
        </w:rPr>
        <w:t>6.2</w:t>
      </w:r>
      <w:r w:rsidRPr="00891713">
        <w:rPr>
          <w:rFonts w:ascii="Garamond" w:eastAsia="Palatino Linotype" w:hAnsi="Garamond" w:cs="Palatino Linotype"/>
        </w:rPr>
        <w:t xml:space="preserve"> crore were closed under SEBI (Substantial Acquisition of Shares and Takeover) Regulations, 2011 as against </w:t>
      </w:r>
      <w:r>
        <w:rPr>
          <w:rFonts w:ascii="Garamond" w:eastAsia="Palatino Linotype" w:hAnsi="Garamond" w:cs="Palatino Linotype"/>
        </w:rPr>
        <w:t>seven</w:t>
      </w:r>
      <w:r w:rsidRPr="00B77199">
        <w:rPr>
          <w:rFonts w:ascii="Garamond" w:eastAsia="Palatino Linotype" w:hAnsi="Garamond" w:cs="Palatino Linotype"/>
        </w:rPr>
        <w:t xml:space="preserve"> open offers with offer value of </w:t>
      </w:r>
      <w:r w:rsidRPr="00B77199">
        <w:rPr>
          <w:rFonts w:ascii="Times New Roman" w:eastAsia="Palatino Linotype" w:hAnsi="Times New Roman"/>
        </w:rPr>
        <w:t>₹</w:t>
      </w:r>
      <w:r>
        <w:rPr>
          <w:rFonts w:ascii="Garamond" w:eastAsia="Palatino Linotype" w:hAnsi="Garamond" w:cs="Palatino Linotype"/>
        </w:rPr>
        <w:t>108</w:t>
      </w:r>
      <w:r w:rsidRPr="00B77199">
        <w:rPr>
          <w:rFonts w:ascii="Garamond" w:eastAsia="Palatino Linotype" w:hAnsi="Garamond" w:cs="Palatino Linotype"/>
        </w:rPr>
        <w:t xml:space="preserve"> crore </w:t>
      </w:r>
      <w:r w:rsidRPr="00891713">
        <w:rPr>
          <w:rFonts w:ascii="Garamond" w:eastAsia="Palatino Linotype" w:hAnsi="Garamond" w:cs="Palatino Linotype"/>
        </w:rPr>
        <w:t xml:space="preserve">closed in </w:t>
      </w:r>
      <w:r>
        <w:rPr>
          <w:rFonts w:ascii="Garamond" w:eastAsia="Palatino Linotype" w:hAnsi="Garamond" w:cs="Palatino Linotype"/>
        </w:rPr>
        <w:t>November</w:t>
      </w:r>
      <w:r w:rsidRPr="00891713">
        <w:rPr>
          <w:rFonts w:ascii="Garamond" w:eastAsia="Palatino Linotype" w:hAnsi="Garamond" w:cs="Palatino Linotype"/>
        </w:rPr>
        <w:t xml:space="preserve"> 2021. </w:t>
      </w:r>
    </w:p>
    <w:p w:rsidR="00E545F9" w:rsidRDefault="00E545F9" w:rsidP="00E545F9">
      <w:pPr>
        <w:jc w:val="center"/>
        <w:rPr>
          <w:rFonts w:ascii="Garamond" w:eastAsia="Palatino Linotype" w:hAnsi="Garamond" w:cs="Palatino Linotype"/>
          <w:b/>
          <w:color w:val="222A35"/>
        </w:rPr>
      </w:pPr>
      <w:r w:rsidRPr="00891713">
        <w:rPr>
          <w:rFonts w:ascii="Garamond" w:eastAsia="Palatino Linotype" w:hAnsi="Garamond" w:cs="Palatino Linotype"/>
          <w:b/>
          <w:color w:val="222A35"/>
        </w:rPr>
        <w:t>Figure 13: Details of Open Offers Closed under the SEBI (SAST) Regulations</w:t>
      </w:r>
    </w:p>
    <w:p w:rsidR="00E545F9" w:rsidRDefault="00DD1A9A" w:rsidP="00E545F9">
      <w:pPr>
        <w:jc w:val="center"/>
        <w:rPr>
          <w:rFonts w:ascii="Garamond" w:eastAsia="Palatino Linotype" w:hAnsi="Garamond" w:cs="Palatino Linotype"/>
          <w:b/>
          <w:color w:val="222A35"/>
        </w:rPr>
      </w:pPr>
      <w:r w:rsidRPr="0027682F">
        <w:rPr>
          <w:noProof/>
          <w:lang w:val="en-IN" w:eastAsia="en-IN" w:bidi="hi-IN"/>
        </w:rPr>
        <w:drawing>
          <wp:inline distT="0" distB="0" distL="0" distR="0">
            <wp:extent cx="5784850" cy="1943100"/>
            <wp:effectExtent l="0" t="0" r="6350" b="0"/>
            <wp:docPr id="1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6CB3" w:rsidRPr="006A6CB3" w:rsidRDefault="006A6CB3" w:rsidP="006A6CB3">
      <w:pPr>
        <w:widowControl w:val="0"/>
        <w:ind w:left="-284"/>
        <w:jc w:val="both"/>
        <w:rPr>
          <w:rFonts w:ascii="Garamond" w:eastAsia="Times New Roman" w:hAnsi="Garamond"/>
          <w:b/>
          <w:color w:val="0F0684"/>
        </w:rPr>
      </w:pPr>
      <w:r w:rsidRPr="006A6CB3">
        <w:rPr>
          <w:rFonts w:ascii="Garamond" w:hAnsi="Garamond"/>
          <w:b/>
          <w:color w:val="0F0684"/>
        </w:rPr>
        <w:lastRenderedPageBreak/>
        <w:t>IX.     Commodity Derivatives Markets</w:t>
      </w:r>
    </w:p>
    <w:p w:rsidR="006A6CB3" w:rsidRPr="006A6CB3" w:rsidRDefault="006A6CB3" w:rsidP="006A6CB3">
      <w:pPr>
        <w:pStyle w:val="ListParagraph"/>
        <w:spacing w:after="0" w:line="240" w:lineRule="auto"/>
        <w:jc w:val="both"/>
        <w:rPr>
          <w:rFonts w:ascii="Garamond" w:eastAsia="Times New Roman" w:hAnsi="Garamond"/>
          <w:b/>
          <w:color w:val="000000"/>
          <w:sz w:val="24"/>
          <w:szCs w:val="24"/>
        </w:rPr>
      </w:pPr>
    </w:p>
    <w:p w:rsidR="006A6CB3" w:rsidRPr="006A6CB3" w:rsidRDefault="006A6CB3" w:rsidP="00DC22FE">
      <w:pPr>
        <w:pStyle w:val="ListParagraph"/>
        <w:numPr>
          <w:ilvl w:val="0"/>
          <w:numId w:val="5"/>
        </w:numPr>
        <w:tabs>
          <w:tab w:val="left" w:pos="567"/>
        </w:tabs>
        <w:spacing w:after="0" w:line="240" w:lineRule="auto"/>
        <w:ind w:left="0" w:firstLine="0"/>
        <w:jc w:val="both"/>
        <w:rPr>
          <w:rFonts w:ascii="Garamond" w:eastAsia="Times New Roman" w:hAnsi="Garamond"/>
          <w:b/>
          <w:color w:val="000000"/>
          <w:sz w:val="24"/>
          <w:szCs w:val="24"/>
        </w:rPr>
      </w:pPr>
      <w:r w:rsidRPr="006A6CB3">
        <w:rPr>
          <w:rFonts w:ascii="Garamond" w:eastAsia="Times New Roman" w:hAnsi="Garamond"/>
          <w:b/>
          <w:color w:val="000000"/>
          <w:sz w:val="24"/>
          <w:szCs w:val="24"/>
        </w:rPr>
        <w:t>Market Trends</w:t>
      </w:r>
    </w:p>
    <w:p w:rsidR="006A6CB3" w:rsidRPr="002F11DF" w:rsidRDefault="006A6CB3" w:rsidP="005559D2">
      <w:pPr>
        <w:pStyle w:val="ListParagraph"/>
        <w:spacing w:after="0"/>
        <w:ind w:left="567"/>
        <w:jc w:val="both"/>
        <w:rPr>
          <w:rFonts w:ascii="Garamond" w:hAnsi="Garamond"/>
          <w:sz w:val="24"/>
          <w:szCs w:val="24"/>
        </w:rPr>
      </w:pPr>
    </w:p>
    <w:p w:rsidR="00180355" w:rsidRPr="002F11DF" w:rsidRDefault="00180355" w:rsidP="005559D2">
      <w:pPr>
        <w:pStyle w:val="ListParagraph"/>
        <w:numPr>
          <w:ilvl w:val="0"/>
          <w:numId w:val="6"/>
        </w:numPr>
        <w:spacing w:after="0"/>
        <w:ind w:left="567" w:hanging="526"/>
        <w:jc w:val="both"/>
        <w:rPr>
          <w:rFonts w:ascii="Garamond" w:hAnsi="Garamond"/>
          <w:sz w:val="24"/>
          <w:szCs w:val="24"/>
        </w:rPr>
      </w:pPr>
      <w:r w:rsidRPr="002F11DF">
        <w:rPr>
          <w:rFonts w:ascii="Garamond" w:hAnsi="Garamond"/>
          <w:sz w:val="24"/>
          <w:szCs w:val="24"/>
        </w:rPr>
        <w:t>At the end of December 2021, MCX iCOMDEX composite index increased by 3.0 per cent (M-o-M).  This increase was mainly driven by upward trend in futures prices of crude oil, zinc, nickel and copper.</w:t>
      </w:r>
      <w:r w:rsidRPr="002F11DF">
        <w:rPr>
          <w:rFonts w:ascii="Garamond" w:eastAsia="Times New Roman" w:hAnsi="Garamond"/>
          <w:color w:val="000000"/>
          <w:sz w:val="24"/>
          <w:szCs w:val="24"/>
        </w:rPr>
        <w:t xml:space="preserve"> </w:t>
      </w:r>
    </w:p>
    <w:p w:rsidR="00180355" w:rsidRPr="002F11DF" w:rsidRDefault="00180355" w:rsidP="005559D2">
      <w:pPr>
        <w:pStyle w:val="ListParagraph"/>
        <w:numPr>
          <w:ilvl w:val="0"/>
          <w:numId w:val="6"/>
        </w:numPr>
        <w:spacing w:after="0"/>
        <w:ind w:left="567" w:hanging="526"/>
        <w:jc w:val="both"/>
        <w:rPr>
          <w:rFonts w:ascii="Garamond" w:eastAsia="Times New Roman" w:hAnsi="Garamond"/>
          <w:color w:val="000000"/>
          <w:sz w:val="24"/>
          <w:szCs w:val="24"/>
        </w:rPr>
      </w:pPr>
      <w:r w:rsidRPr="002F11DF">
        <w:rPr>
          <w:rFonts w:ascii="Garamond" w:eastAsia="Times New Roman" w:hAnsi="Garamond"/>
          <w:color w:val="000000"/>
          <w:sz w:val="24"/>
          <w:szCs w:val="24"/>
        </w:rPr>
        <w:t>Amongst</w:t>
      </w:r>
      <w:r w:rsidRPr="002F11DF">
        <w:rPr>
          <w:rFonts w:ascii="Garamond" w:hAnsi="Garamond"/>
          <w:sz w:val="24"/>
          <w:szCs w:val="24"/>
        </w:rPr>
        <w:t xml:space="preserve"> sectoral indices, MCX iCOMDEX Energy Index increased most by 8.2 percent, followed by MCX iCOMDEX Base Metal (4.3 per cent) and MCX iCOMDEX Bullion index (0.6 per cent).</w:t>
      </w:r>
    </w:p>
    <w:p w:rsidR="00180355" w:rsidRPr="002F11DF" w:rsidRDefault="00180355" w:rsidP="005559D2">
      <w:pPr>
        <w:pStyle w:val="ListParagraph"/>
        <w:numPr>
          <w:ilvl w:val="0"/>
          <w:numId w:val="6"/>
        </w:numPr>
        <w:spacing w:after="0"/>
        <w:ind w:left="567" w:hanging="526"/>
        <w:jc w:val="both"/>
        <w:rPr>
          <w:rFonts w:ascii="Garamond" w:eastAsia="Times New Roman" w:hAnsi="Garamond"/>
          <w:color w:val="000000"/>
          <w:sz w:val="24"/>
          <w:szCs w:val="24"/>
        </w:rPr>
      </w:pPr>
      <w:r w:rsidRPr="002F11DF">
        <w:rPr>
          <w:rFonts w:ascii="Garamond" w:hAnsi="Garamond"/>
          <w:sz w:val="24"/>
          <w:szCs w:val="24"/>
        </w:rPr>
        <w:t xml:space="preserve">NCDEX NKrishi </w:t>
      </w:r>
      <w:r w:rsidRPr="002F11DF">
        <w:rPr>
          <w:rFonts w:ascii="Garamond" w:eastAsia="Times New Roman" w:hAnsi="Garamond"/>
          <w:color w:val="000000"/>
          <w:sz w:val="24"/>
          <w:szCs w:val="24"/>
        </w:rPr>
        <w:t>index</w:t>
      </w:r>
      <w:r w:rsidRPr="002F11DF">
        <w:rPr>
          <w:rFonts w:ascii="Garamond" w:hAnsi="Garamond"/>
          <w:sz w:val="24"/>
          <w:szCs w:val="24"/>
        </w:rPr>
        <w:t xml:space="preserve"> though increased by 4.0 per cent (M-o-M), a mixed trend in prices of it’s constituents was observed.  The futures prices of Turmeric increased most by 14.8 per cent, followed by Cotton Seed Oil Cake (13.3 per cent) and Gur (4.1 percent). A decrease was recorded in the prices of Castor Seed New (9.1 per cent), Maize (3.6 per cent), and Bajra (1.4 per cent). </w:t>
      </w:r>
    </w:p>
    <w:p w:rsidR="00180355" w:rsidRPr="002F11DF" w:rsidRDefault="00180355" w:rsidP="005559D2">
      <w:pPr>
        <w:pStyle w:val="ListParagraph"/>
        <w:numPr>
          <w:ilvl w:val="0"/>
          <w:numId w:val="6"/>
        </w:numPr>
        <w:spacing w:after="0"/>
        <w:ind w:left="567" w:hanging="526"/>
        <w:jc w:val="both"/>
        <w:rPr>
          <w:rFonts w:ascii="Garamond" w:eastAsia="Times New Roman" w:hAnsi="Garamond"/>
          <w:color w:val="000000"/>
          <w:sz w:val="24"/>
          <w:szCs w:val="24"/>
        </w:rPr>
      </w:pPr>
      <w:r w:rsidRPr="002F11DF">
        <w:rPr>
          <w:rFonts w:ascii="Garamond" w:eastAsia="Times New Roman" w:hAnsi="Garamond"/>
          <w:color w:val="000000"/>
          <w:sz w:val="24"/>
          <w:szCs w:val="24"/>
        </w:rPr>
        <w:t xml:space="preserve">Movement in MCX iCOMDEX composite Index and NKrishi Index during December 2021 is given in </w:t>
      </w:r>
      <w:r w:rsidRPr="002F11DF">
        <w:rPr>
          <w:rFonts w:ascii="Garamond" w:eastAsia="Times New Roman" w:hAnsi="Garamond"/>
          <w:b/>
          <w:bCs/>
          <w:i/>
          <w:iCs/>
          <w:color w:val="000000"/>
          <w:sz w:val="24"/>
          <w:szCs w:val="24"/>
        </w:rPr>
        <w:t>Figure 14</w:t>
      </w:r>
      <w:r w:rsidRPr="002F11DF">
        <w:rPr>
          <w:rFonts w:ascii="Garamond" w:eastAsia="Times New Roman" w:hAnsi="Garamond"/>
          <w:color w:val="000000"/>
          <w:sz w:val="24"/>
          <w:szCs w:val="24"/>
        </w:rPr>
        <w:t xml:space="preserve"> and the monthly data of these indices is provided in </w:t>
      </w:r>
      <w:r w:rsidRPr="002F11DF">
        <w:rPr>
          <w:rFonts w:ascii="Garamond" w:eastAsia="Times New Roman" w:hAnsi="Garamond"/>
          <w:b/>
          <w:bCs/>
          <w:i/>
          <w:iCs/>
          <w:color w:val="000000"/>
          <w:sz w:val="24"/>
          <w:szCs w:val="24"/>
        </w:rPr>
        <w:t xml:space="preserve">Table 64. </w:t>
      </w:r>
    </w:p>
    <w:p w:rsidR="00180355" w:rsidRPr="00BE0292" w:rsidRDefault="00180355" w:rsidP="00180355">
      <w:pPr>
        <w:rPr>
          <w:rFonts w:ascii="Garamond" w:eastAsia="Times New Roman" w:hAnsi="Garamond"/>
          <w:b/>
          <w:color w:val="2E74B5"/>
        </w:rPr>
      </w:pPr>
    </w:p>
    <w:p w:rsidR="00180355" w:rsidRPr="00BE0292" w:rsidRDefault="00180355" w:rsidP="00180355">
      <w:pPr>
        <w:pStyle w:val="ListParagraph"/>
        <w:spacing w:after="0" w:line="240" w:lineRule="auto"/>
        <w:ind w:left="0"/>
        <w:rPr>
          <w:rFonts w:ascii="Garamond" w:eastAsia="Times New Roman" w:hAnsi="Garamond"/>
          <w:b/>
          <w:sz w:val="24"/>
          <w:szCs w:val="24"/>
        </w:rPr>
      </w:pPr>
      <w:r w:rsidRPr="00BE0292">
        <w:rPr>
          <w:rFonts w:ascii="Garamond" w:eastAsia="Times New Roman" w:hAnsi="Garamond"/>
          <w:b/>
          <w:sz w:val="24"/>
          <w:szCs w:val="24"/>
        </w:rPr>
        <w:t xml:space="preserve">Figure 14: Movement of Domestic Commodity Derivatives Market Indices </w:t>
      </w:r>
    </w:p>
    <w:p w:rsidR="00180355" w:rsidRPr="00BE0292" w:rsidRDefault="00180355" w:rsidP="00180355">
      <w:pPr>
        <w:pStyle w:val="ListParagraph"/>
        <w:spacing w:after="0" w:line="240" w:lineRule="auto"/>
        <w:ind w:left="142" w:hanging="142"/>
        <w:jc w:val="center"/>
        <w:rPr>
          <w:rFonts w:ascii="Garamond" w:eastAsia="Times New Roman" w:hAnsi="Garamond"/>
          <w:b/>
          <w:color w:val="2E74B5"/>
          <w:sz w:val="24"/>
          <w:szCs w:val="24"/>
        </w:rPr>
      </w:pPr>
    </w:p>
    <w:p w:rsidR="00180355" w:rsidRPr="00BE0292" w:rsidRDefault="00180355" w:rsidP="002F11DF">
      <w:pPr>
        <w:pStyle w:val="ListParagraph"/>
        <w:spacing w:after="0" w:line="240" w:lineRule="auto"/>
        <w:ind w:left="-426"/>
        <w:rPr>
          <w:rFonts w:ascii="Garamond" w:hAnsi="Garamond" w:cs="Arial"/>
          <w:b/>
          <w:bCs/>
          <w:sz w:val="24"/>
          <w:szCs w:val="24"/>
        </w:rPr>
      </w:pPr>
      <w:r w:rsidRPr="00BE0292">
        <w:rPr>
          <w:rFonts w:ascii="Garamond" w:hAnsi="Garamond" w:cs="Arial"/>
          <w:b/>
          <w:bCs/>
          <w:sz w:val="24"/>
          <w:szCs w:val="24"/>
        </w:rPr>
        <w:t xml:space="preserve">                 </w:t>
      </w:r>
      <w:r w:rsidR="00DD1A9A" w:rsidRPr="00BE0292">
        <w:rPr>
          <w:rFonts w:ascii="Garamond" w:hAnsi="Garamond"/>
          <w:noProof/>
          <w:sz w:val="24"/>
          <w:szCs w:val="24"/>
          <w:lang w:val="en-IN" w:eastAsia="en-IN" w:bidi="hi-IN"/>
        </w:rPr>
        <w:drawing>
          <wp:inline distT="0" distB="0" distL="0" distR="0">
            <wp:extent cx="5410200" cy="2743200"/>
            <wp:effectExtent l="0" t="0" r="0" b="0"/>
            <wp:docPr id="1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E0292">
        <w:rPr>
          <w:rFonts w:ascii="Garamond" w:hAnsi="Garamond" w:cs="Arial"/>
          <w:b/>
          <w:bCs/>
          <w:sz w:val="24"/>
          <w:szCs w:val="24"/>
        </w:rPr>
        <w:t xml:space="preserve">         </w:t>
      </w:r>
    </w:p>
    <w:p w:rsidR="00180355" w:rsidRPr="00BE0292" w:rsidRDefault="00180355" w:rsidP="002F11DF">
      <w:pPr>
        <w:pStyle w:val="ListParagraph"/>
        <w:spacing w:after="0" w:line="240" w:lineRule="auto"/>
        <w:ind w:left="-426" w:firstLine="1146"/>
        <w:rPr>
          <w:rFonts w:ascii="Garamond" w:hAnsi="Garamond" w:cs="Arial"/>
          <w:b/>
          <w:bCs/>
          <w:sz w:val="24"/>
          <w:szCs w:val="24"/>
        </w:rPr>
      </w:pPr>
      <w:r w:rsidRPr="00BE0292">
        <w:rPr>
          <w:rFonts w:ascii="Garamond" w:hAnsi="Garamond" w:cs="Arial"/>
          <w:b/>
          <w:bCs/>
          <w:sz w:val="24"/>
          <w:szCs w:val="24"/>
        </w:rPr>
        <w:t>Source: MCX and NCDEX</w:t>
      </w:r>
    </w:p>
    <w:p w:rsidR="00180355" w:rsidRDefault="00180355" w:rsidP="002F11DF">
      <w:pPr>
        <w:pStyle w:val="ListParagraph"/>
        <w:tabs>
          <w:tab w:val="left" w:pos="3360"/>
        </w:tabs>
        <w:spacing w:after="0" w:line="480" w:lineRule="auto"/>
        <w:ind w:left="-426"/>
        <w:rPr>
          <w:rFonts w:ascii="Garamond" w:hAnsi="Garamond" w:cs="Arial"/>
          <w:b/>
          <w:bCs/>
          <w:sz w:val="24"/>
          <w:szCs w:val="24"/>
        </w:rPr>
      </w:pPr>
      <w:r w:rsidRPr="00BE0292">
        <w:rPr>
          <w:rFonts w:ascii="Garamond" w:hAnsi="Garamond" w:cs="Arial"/>
          <w:b/>
          <w:bCs/>
          <w:sz w:val="24"/>
          <w:szCs w:val="24"/>
        </w:rPr>
        <w:tab/>
      </w: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5559D2" w:rsidRDefault="005559D2" w:rsidP="002F11DF">
      <w:pPr>
        <w:pStyle w:val="ListParagraph"/>
        <w:tabs>
          <w:tab w:val="left" w:pos="3360"/>
        </w:tabs>
        <w:spacing w:after="0" w:line="480" w:lineRule="auto"/>
        <w:ind w:left="-426"/>
        <w:rPr>
          <w:rFonts w:ascii="Garamond" w:hAnsi="Garamond" w:cs="Arial"/>
          <w:b/>
          <w:bCs/>
          <w:sz w:val="24"/>
          <w:szCs w:val="24"/>
        </w:rPr>
      </w:pPr>
    </w:p>
    <w:p w:rsidR="00180355" w:rsidRPr="00BE0292" w:rsidRDefault="00180355" w:rsidP="00180355">
      <w:pPr>
        <w:jc w:val="both"/>
        <w:rPr>
          <w:rFonts w:ascii="Garamond" w:hAnsi="Garamond" w:cs="Arial"/>
          <w:b/>
          <w:bCs/>
          <w:sz w:val="22"/>
          <w:szCs w:val="22"/>
        </w:rPr>
      </w:pPr>
      <w:r w:rsidRPr="00BE0292">
        <w:rPr>
          <w:rFonts w:ascii="Garamond" w:hAnsi="Garamond" w:cs="Arial"/>
          <w:b/>
          <w:bCs/>
        </w:rPr>
        <w:lastRenderedPageBreak/>
        <w:t xml:space="preserve">            </w:t>
      </w:r>
      <w:r w:rsidRPr="00BE0292">
        <w:rPr>
          <w:rFonts w:ascii="Garamond" w:hAnsi="Garamond" w:cs="Arial"/>
          <w:b/>
          <w:bCs/>
          <w:sz w:val="22"/>
          <w:szCs w:val="22"/>
        </w:rPr>
        <w:t>Table 4: Snapshot of Indian Commodity Derivatives Markets</w:t>
      </w:r>
    </w:p>
    <w:tbl>
      <w:tblPr>
        <w:tblW w:w="9277" w:type="dxa"/>
        <w:tblLook w:val="04A0" w:firstRow="1" w:lastRow="0" w:firstColumn="1" w:lastColumn="0" w:noHBand="0" w:noVBand="1"/>
      </w:tblPr>
      <w:tblGrid>
        <w:gridCol w:w="4190"/>
        <w:gridCol w:w="1667"/>
        <w:gridCol w:w="1667"/>
        <w:gridCol w:w="1753"/>
      </w:tblGrid>
      <w:tr w:rsidR="00180355" w:rsidRPr="00BE0292" w:rsidTr="002F11DF">
        <w:trPr>
          <w:trHeight w:val="551"/>
        </w:trPr>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jc w:val="cente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Items</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180355" w:rsidRPr="00BE0292" w:rsidRDefault="00180355" w:rsidP="00174359">
            <w:pPr>
              <w:jc w:val="center"/>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Nov-21</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180355" w:rsidRPr="00BE0292" w:rsidRDefault="00180355" w:rsidP="00174359">
            <w:pPr>
              <w:jc w:val="center"/>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Dec-21</w:t>
            </w:r>
          </w:p>
        </w:tc>
        <w:tc>
          <w:tcPr>
            <w:tcW w:w="1753" w:type="dxa"/>
            <w:tcBorders>
              <w:top w:val="single" w:sz="4" w:space="0" w:color="auto"/>
              <w:left w:val="nil"/>
              <w:bottom w:val="nil"/>
              <w:right w:val="single" w:sz="4" w:space="0" w:color="auto"/>
            </w:tcBorders>
            <w:shd w:val="clear" w:color="auto" w:fill="auto"/>
            <w:vAlign w:val="center"/>
            <w:hideMark/>
          </w:tcPr>
          <w:p w:rsidR="00180355" w:rsidRPr="00BE0292" w:rsidRDefault="00180355" w:rsidP="00174359">
            <w:pPr>
              <w:jc w:val="cente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xml:space="preserve">Percentage variation    </w:t>
            </w:r>
          </w:p>
          <w:p w:rsidR="00180355" w:rsidRPr="00BE0292" w:rsidRDefault="00180355" w:rsidP="00174359">
            <w:pPr>
              <w:jc w:val="cente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M-O-M</w:t>
            </w:r>
          </w:p>
        </w:tc>
      </w:tr>
      <w:tr w:rsidR="00180355" w:rsidRPr="00BE0292" w:rsidTr="002F11DF">
        <w:trPr>
          <w:trHeight w:val="183"/>
        </w:trPr>
        <w:tc>
          <w:tcPr>
            <w:tcW w:w="4190" w:type="dxa"/>
            <w:tcBorders>
              <w:top w:val="nil"/>
              <w:left w:val="single" w:sz="4" w:space="0" w:color="auto"/>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A. Indices</w:t>
            </w:r>
          </w:p>
        </w:tc>
        <w:tc>
          <w:tcPr>
            <w:tcW w:w="1667" w:type="dxa"/>
            <w:tcBorders>
              <w:top w:val="nil"/>
              <w:left w:val="nil"/>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c>
          <w:tcPr>
            <w:tcW w:w="1667" w:type="dxa"/>
            <w:tcBorders>
              <w:top w:val="nil"/>
              <w:left w:val="nil"/>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ind w:firstLineChars="400" w:firstLine="880"/>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Nkrishi</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5,338</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5,550</w:t>
            </w:r>
          </w:p>
        </w:tc>
        <w:tc>
          <w:tcPr>
            <w:tcW w:w="1753" w:type="dxa"/>
            <w:tcBorders>
              <w:top w:val="nil"/>
              <w:left w:val="nil"/>
              <w:bottom w:val="single" w:sz="4" w:space="0" w:color="auto"/>
              <w:right w:val="single" w:sz="4" w:space="0" w:color="auto"/>
            </w:tcBorders>
            <w:shd w:val="clear" w:color="auto" w:fill="auto"/>
            <w:vAlign w:val="center"/>
            <w:hideMark/>
          </w:tcPr>
          <w:p w:rsidR="00180355" w:rsidRPr="00BE0292" w:rsidRDefault="00180355" w:rsidP="00174359">
            <w:pPr>
              <w:jc w:val="center"/>
              <w:rPr>
                <w:rFonts w:ascii="Garamond" w:eastAsia="Times New Roman" w:hAnsi="Garamond" w:cs="Calibri"/>
                <w:i/>
                <w:iCs/>
                <w:color w:val="000000"/>
                <w:sz w:val="22"/>
                <w:szCs w:val="22"/>
                <w:lang w:val="en-IN" w:eastAsia="en-IN" w:bidi="hi-IN"/>
              </w:rPr>
            </w:pPr>
            <w:r w:rsidRPr="00BE0292">
              <w:rPr>
                <w:rFonts w:ascii="Garamond" w:eastAsia="Times New Roman" w:hAnsi="Garamond" w:cs="Calibri"/>
                <w:i/>
                <w:iCs/>
                <w:color w:val="000000"/>
                <w:sz w:val="22"/>
                <w:szCs w:val="22"/>
                <w:lang w:val="en-IN" w:eastAsia="en-IN" w:bidi="hi-IN"/>
              </w:rPr>
              <w:t>4.0</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ind w:firstLineChars="400" w:firstLine="880"/>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MCX iCOMDEX</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11,522</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11,864</w:t>
            </w:r>
          </w:p>
        </w:tc>
        <w:tc>
          <w:tcPr>
            <w:tcW w:w="1753" w:type="dxa"/>
            <w:tcBorders>
              <w:top w:val="nil"/>
              <w:left w:val="nil"/>
              <w:bottom w:val="single" w:sz="4" w:space="0" w:color="auto"/>
              <w:right w:val="single" w:sz="4" w:space="0" w:color="auto"/>
            </w:tcBorders>
            <w:shd w:val="clear" w:color="auto" w:fill="auto"/>
            <w:vAlign w:val="center"/>
            <w:hideMark/>
          </w:tcPr>
          <w:p w:rsidR="00180355" w:rsidRPr="00BE0292" w:rsidRDefault="00180355" w:rsidP="00174359">
            <w:pPr>
              <w:jc w:val="center"/>
              <w:rPr>
                <w:rFonts w:ascii="Garamond" w:eastAsia="Times New Roman" w:hAnsi="Garamond" w:cs="Calibri"/>
                <w:i/>
                <w:iCs/>
                <w:color w:val="000000"/>
                <w:sz w:val="22"/>
                <w:szCs w:val="22"/>
                <w:lang w:val="en-IN" w:eastAsia="en-IN" w:bidi="hi-IN"/>
              </w:rPr>
            </w:pPr>
            <w:r w:rsidRPr="00BE0292">
              <w:rPr>
                <w:rFonts w:ascii="Garamond" w:eastAsia="Times New Roman" w:hAnsi="Garamond" w:cs="Calibri"/>
                <w:i/>
                <w:iCs/>
                <w:color w:val="000000"/>
                <w:sz w:val="22"/>
                <w:szCs w:val="22"/>
                <w:lang w:val="en-IN" w:eastAsia="en-IN" w:bidi="hi-IN"/>
              </w:rPr>
              <w:t>3.0</w:t>
            </w:r>
          </w:p>
        </w:tc>
      </w:tr>
      <w:tr w:rsidR="00180355" w:rsidRPr="00BE0292" w:rsidTr="002F11DF">
        <w:trPr>
          <w:trHeight w:val="165"/>
        </w:trPr>
        <w:tc>
          <w:tcPr>
            <w:tcW w:w="4190" w:type="dxa"/>
            <w:tcBorders>
              <w:top w:val="nil"/>
              <w:left w:val="single" w:sz="4" w:space="0" w:color="auto"/>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B. Turnover Exchange</w:t>
            </w:r>
            <w:r w:rsidR="00BE0292" w:rsidRPr="00BE0292">
              <w:rPr>
                <w:rFonts w:ascii="Garamond" w:eastAsia="Times New Roman" w:hAnsi="Garamond" w:cs="Calibri"/>
                <w:b/>
                <w:bCs/>
                <w:color w:val="000000"/>
                <w:sz w:val="22"/>
                <w:szCs w:val="22"/>
                <w:lang w:val="en-IN" w:eastAsia="en-IN" w:bidi="hi-IN"/>
              </w:rPr>
              <w:t>-w</w:t>
            </w:r>
            <w:r w:rsidRPr="00BE0292">
              <w:rPr>
                <w:rFonts w:ascii="Garamond" w:eastAsia="Times New Roman" w:hAnsi="Garamond" w:cs="Calibri"/>
                <w:b/>
                <w:bCs/>
                <w:color w:val="000000"/>
                <w:sz w:val="22"/>
                <w:szCs w:val="22"/>
                <w:lang w:val="en-IN" w:eastAsia="en-IN" w:bidi="hi-IN"/>
              </w:rPr>
              <w:t>ise (</w:t>
            </w:r>
            <w:r w:rsidRPr="00BE0292">
              <w:rPr>
                <w:rFonts w:ascii="Times New Roman" w:eastAsia="Times New Roman" w:hAnsi="Times New Roman"/>
                <w:b/>
                <w:bCs/>
                <w:color w:val="000000"/>
                <w:sz w:val="22"/>
                <w:szCs w:val="22"/>
                <w:lang w:val="en-IN" w:eastAsia="en-IN" w:bidi="hi-IN"/>
              </w:rPr>
              <w:t>₹</w:t>
            </w:r>
            <w:r w:rsidRPr="00BE0292">
              <w:rPr>
                <w:rFonts w:ascii="Garamond" w:eastAsia="Times New Roman" w:hAnsi="Garamond" w:cs="Calibri"/>
                <w:b/>
                <w:bCs/>
                <w:color w:val="000000"/>
                <w:sz w:val="22"/>
                <w:szCs w:val="22"/>
                <w:lang w:val="en-IN" w:eastAsia="en-IN" w:bidi="hi-IN"/>
              </w:rPr>
              <w:t>crore)</w:t>
            </w:r>
          </w:p>
        </w:tc>
        <w:tc>
          <w:tcPr>
            <w:tcW w:w="1667" w:type="dxa"/>
            <w:tcBorders>
              <w:top w:val="nil"/>
              <w:left w:val="nil"/>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c>
          <w:tcPr>
            <w:tcW w:w="1667" w:type="dxa"/>
            <w:tcBorders>
              <w:top w:val="nil"/>
              <w:left w:val="nil"/>
              <w:bottom w:val="single" w:sz="4" w:space="0" w:color="auto"/>
              <w:right w:val="nil"/>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c>
          <w:tcPr>
            <w:tcW w:w="1753" w:type="dxa"/>
            <w:tcBorders>
              <w:top w:val="nil"/>
              <w:left w:val="nil"/>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 </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All-India</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8,76,157</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7,94,465</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-9.3</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MCX, of which</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7,32,096</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6,37,908</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-12.9</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Futures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5,31,769</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4,53,950</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-14.6</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Options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2,00,327</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1,83,958</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-8.2</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BSE, of which</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1,05,133</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1,24,678</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18.6</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Futures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499</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510</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2.2</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Options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1,04,634</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1,24,168</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18.7</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NCDEX, of which</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37,233</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30,243</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-18.8</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Futures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37,206</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30,230</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-18.7</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Options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27</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13</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-51.5</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NSE, of which</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1,692</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1,632</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-3.5</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Futures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-0.6</w:t>
            </w:r>
          </w:p>
        </w:tc>
      </w:tr>
      <w:tr w:rsidR="00180355" w:rsidRPr="00BE0292" w:rsidTr="002F11DF">
        <w:trPr>
          <w:trHeight w:val="175"/>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color w:val="000000"/>
                <w:sz w:val="22"/>
                <w:szCs w:val="22"/>
                <w:lang w:val="en-IN" w:eastAsia="en-IN" w:bidi="hi-IN"/>
              </w:rPr>
            </w:pPr>
            <w:r w:rsidRPr="00BE0292">
              <w:rPr>
                <w:rFonts w:ascii="Garamond" w:eastAsia="Times New Roman" w:hAnsi="Garamond" w:cs="Calibri"/>
                <w:color w:val="000000"/>
                <w:sz w:val="22"/>
                <w:szCs w:val="22"/>
                <w:lang w:val="en-IN" w:eastAsia="en-IN" w:bidi="hi-IN"/>
              </w:rPr>
              <w:t xml:space="preserve">            Options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1,691</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sz w:val="22"/>
                <w:szCs w:val="22"/>
                <w:lang w:val="en-IN" w:eastAsia="en-IN" w:bidi="hi-IN"/>
              </w:rPr>
            </w:pPr>
            <w:r w:rsidRPr="00BE0292">
              <w:rPr>
                <w:rFonts w:ascii="Garamond" w:eastAsia="Times New Roman" w:hAnsi="Garamond" w:cs="Calibri"/>
                <w:sz w:val="22"/>
                <w:szCs w:val="22"/>
                <w:lang w:val="en-IN" w:eastAsia="en-IN" w:bidi="hi-IN"/>
              </w:rPr>
              <w:t>1,631</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-3.5</w:t>
            </w:r>
          </w:p>
        </w:tc>
      </w:tr>
      <w:tr w:rsidR="00180355" w:rsidRPr="00BE0292" w:rsidTr="002F11DF">
        <w:trPr>
          <w:trHeight w:val="183"/>
        </w:trPr>
        <w:tc>
          <w:tcPr>
            <w:tcW w:w="4190" w:type="dxa"/>
            <w:tcBorders>
              <w:top w:val="nil"/>
              <w:left w:val="single" w:sz="4" w:space="0" w:color="auto"/>
              <w:bottom w:val="single" w:sz="4" w:space="0" w:color="auto"/>
              <w:right w:val="single" w:sz="4" w:space="0" w:color="auto"/>
            </w:tcBorders>
            <w:shd w:val="clear" w:color="auto" w:fill="auto"/>
            <w:vAlign w:val="center"/>
            <w:hideMark/>
          </w:tcPr>
          <w:p w:rsidR="00180355" w:rsidRPr="00BE0292" w:rsidRDefault="00180355" w:rsidP="00174359">
            <w:pPr>
              <w:rPr>
                <w:rFonts w:ascii="Garamond" w:eastAsia="Times New Roman" w:hAnsi="Garamond" w:cs="Calibri"/>
                <w:b/>
                <w:bCs/>
                <w:color w:val="000000"/>
                <w:sz w:val="22"/>
                <w:szCs w:val="22"/>
                <w:lang w:val="en-IN" w:eastAsia="en-IN" w:bidi="hi-IN"/>
              </w:rPr>
            </w:pPr>
            <w:r w:rsidRPr="00BE0292">
              <w:rPr>
                <w:rFonts w:ascii="Garamond" w:eastAsia="Times New Roman" w:hAnsi="Garamond" w:cs="Calibri"/>
                <w:b/>
                <w:bCs/>
                <w:color w:val="000000"/>
                <w:sz w:val="22"/>
                <w:szCs w:val="22"/>
                <w:lang w:val="en-IN" w:eastAsia="en-IN" w:bidi="hi-IN"/>
              </w:rPr>
              <w:t>ICEX (Futures)</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4</w:t>
            </w:r>
          </w:p>
        </w:tc>
        <w:tc>
          <w:tcPr>
            <w:tcW w:w="1667"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right"/>
              <w:rPr>
                <w:rFonts w:ascii="Garamond" w:eastAsia="Times New Roman" w:hAnsi="Garamond" w:cs="Calibri"/>
                <w:b/>
                <w:bCs/>
                <w:sz w:val="22"/>
                <w:szCs w:val="22"/>
                <w:lang w:val="en-IN" w:eastAsia="en-IN" w:bidi="hi-IN"/>
              </w:rPr>
            </w:pPr>
            <w:r w:rsidRPr="00BE0292">
              <w:rPr>
                <w:rFonts w:ascii="Garamond" w:eastAsia="Times New Roman" w:hAnsi="Garamond" w:cs="Calibri"/>
                <w:b/>
                <w:bCs/>
                <w:sz w:val="22"/>
                <w:szCs w:val="22"/>
                <w:lang w:val="en-IN" w:eastAsia="en-IN" w:bidi="hi-IN"/>
              </w:rPr>
              <w:t>4</w:t>
            </w:r>
          </w:p>
        </w:tc>
        <w:tc>
          <w:tcPr>
            <w:tcW w:w="1753" w:type="dxa"/>
            <w:tcBorders>
              <w:top w:val="nil"/>
              <w:left w:val="nil"/>
              <w:bottom w:val="single" w:sz="4" w:space="0" w:color="auto"/>
              <w:right w:val="single" w:sz="4" w:space="0" w:color="auto"/>
            </w:tcBorders>
            <w:shd w:val="clear" w:color="auto" w:fill="auto"/>
            <w:noWrap/>
            <w:hideMark/>
          </w:tcPr>
          <w:p w:rsidR="00180355" w:rsidRPr="00BE0292" w:rsidRDefault="00180355" w:rsidP="00174359">
            <w:pPr>
              <w:jc w:val="center"/>
              <w:rPr>
                <w:rFonts w:ascii="Garamond" w:eastAsia="Times New Roman" w:hAnsi="Garamond" w:cs="Calibri"/>
                <w:i/>
                <w:iCs/>
                <w:sz w:val="22"/>
                <w:szCs w:val="22"/>
                <w:lang w:val="en-IN" w:eastAsia="en-IN" w:bidi="hi-IN"/>
              </w:rPr>
            </w:pPr>
            <w:r w:rsidRPr="00BE0292">
              <w:rPr>
                <w:rFonts w:ascii="Garamond" w:eastAsia="Times New Roman" w:hAnsi="Garamond" w:cs="Calibri"/>
                <w:i/>
                <w:iCs/>
                <w:sz w:val="22"/>
                <w:szCs w:val="22"/>
                <w:lang w:val="en-IN" w:eastAsia="en-IN" w:bidi="hi-IN"/>
              </w:rPr>
              <w:t>-6.4</w:t>
            </w:r>
          </w:p>
        </w:tc>
      </w:tr>
    </w:tbl>
    <w:p w:rsidR="00180355" w:rsidRPr="00BE0292" w:rsidRDefault="00180355" w:rsidP="00180355">
      <w:pPr>
        <w:jc w:val="both"/>
        <w:rPr>
          <w:rFonts w:ascii="Garamond" w:hAnsi="Garamond" w:cs="Arial"/>
          <w:b/>
          <w:bCs/>
          <w:sz w:val="22"/>
          <w:szCs w:val="22"/>
        </w:rPr>
      </w:pPr>
    </w:p>
    <w:p w:rsidR="00180355" w:rsidRPr="00BE0292" w:rsidRDefault="00180355" w:rsidP="00180355">
      <w:pPr>
        <w:jc w:val="both"/>
        <w:rPr>
          <w:rFonts w:ascii="Garamond" w:hAnsi="Garamond" w:cs="Arial"/>
          <w:b/>
          <w:bCs/>
          <w:sz w:val="22"/>
          <w:szCs w:val="22"/>
        </w:rPr>
      </w:pPr>
      <w:r w:rsidRPr="00BE0292">
        <w:rPr>
          <w:rFonts w:ascii="Garamond" w:hAnsi="Garamond" w:cs="Arial"/>
          <w:b/>
          <w:bCs/>
          <w:sz w:val="22"/>
          <w:szCs w:val="22"/>
        </w:rPr>
        <w:t>Source: MCX, BSE, NCDEX, NSE, ICEX</w:t>
      </w:r>
    </w:p>
    <w:p w:rsidR="00180355" w:rsidRPr="00BE0292" w:rsidRDefault="00180355" w:rsidP="00180355">
      <w:pPr>
        <w:jc w:val="both"/>
        <w:rPr>
          <w:rFonts w:ascii="Garamond" w:hAnsi="Garamond" w:cs="Arial"/>
          <w:b/>
          <w:bCs/>
          <w:i/>
          <w:iCs/>
        </w:rPr>
      </w:pPr>
      <w:r w:rsidRPr="00BE0292">
        <w:rPr>
          <w:rFonts w:ascii="Garamond" w:hAnsi="Garamond" w:cs="Arial"/>
          <w:b/>
          <w:bCs/>
          <w:i/>
          <w:iCs/>
          <w:sz w:val="22"/>
          <w:szCs w:val="22"/>
        </w:rPr>
        <w:t>Note: The values have been rounded to nearest integer in a spreadsheet software. Due to rounding, per cent change for small values may appear very large or incorrect</w:t>
      </w:r>
      <w:r w:rsidRPr="00BE0292">
        <w:rPr>
          <w:rFonts w:ascii="Garamond" w:hAnsi="Garamond" w:cs="Arial"/>
          <w:b/>
          <w:bCs/>
          <w:i/>
          <w:iCs/>
        </w:rPr>
        <w:t>.</w:t>
      </w:r>
    </w:p>
    <w:p w:rsidR="00180355" w:rsidRPr="00BE0292" w:rsidRDefault="00180355" w:rsidP="00180355">
      <w:pPr>
        <w:rPr>
          <w:rFonts w:ascii="Garamond" w:hAnsi="Garamond" w:cs="Arial"/>
          <w:b/>
          <w:bCs/>
        </w:rPr>
      </w:pPr>
    </w:p>
    <w:p w:rsidR="00180355" w:rsidRPr="00BE0292" w:rsidRDefault="00180355" w:rsidP="00180355">
      <w:pPr>
        <w:pStyle w:val="ListParagraph"/>
        <w:numPr>
          <w:ilvl w:val="0"/>
          <w:numId w:val="5"/>
        </w:numPr>
        <w:tabs>
          <w:tab w:val="left" w:pos="567"/>
        </w:tabs>
        <w:spacing w:after="0" w:line="240" w:lineRule="auto"/>
        <w:ind w:left="0" w:firstLine="0"/>
        <w:jc w:val="both"/>
        <w:rPr>
          <w:rFonts w:ascii="Garamond" w:eastAsia="Times New Roman" w:hAnsi="Garamond"/>
          <w:b/>
          <w:color w:val="000000"/>
          <w:sz w:val="24"/>
          <w:szCs w:val="24"/>
        </w:rPr>
      </w:pPr>
      <w:r w:rsidRPr="00BE0292">
        <w:rPr>
          <w:rFonts w:ascii="Garamond" w:eastAsia="Times New Roman" w:hAnsi="Garamond"/>
          <w:b/>
          <w:color w:val="000000"/>
          <w:sz w:val="24"/>
          <w:szCs w:val="24"/>
        </w:rPr>
        <w:t>Commodity Derivatives Turnover</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 xml:space="preserve">During December 2021, pan- India turnover of commodity derivatives decreased by 10.9 per cent to </w:t>
      </w:r>
      <w:r w:rsidRPr="00BE0292">
        <w:rPr>
          <w:rFonts w:ascii="Times New Roman" w:eastAsia="Times New Roman" w:hAnsi="Times New Roman"/>
          <w:bCs/>
          <w:color w:val="000000"/>
          <w:sz w:val="24"/>
          <w:szCs w:val="24"/>
          <w:lang w:val="en-IN" w:eastAsia="en-IN" w:bidi="hi-IN"/>
        </w:rPr>
        <w:t>₹</w:t>
      </w:r>
      <w:r w:rsidRPr="00BE0292">
        <w:rPr>
          <w:rFonts w:ascii="Garamond" w:eastAsia="Times New Roman" w:hAnsi="Garamond"/>
          <w:color w:val="000000"/>
          <w:sz w:val="24"/>
          <w:szCs w:val="24"/>
        </w:rPr>
        <w:t>11.3 lakh crore over the previous month.</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 xml:space="preserve">The percentage share of agri and non-agri segments in overall turnover accounted for 11.4 per cent and 88.6 per cent, respectively. The turnover of agri. segment decreased by 0.4 per cent while that of non-agri segment decreased by 12.1 per cent. </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The percentage share of futures and options contracts in overall turnover stood at 75.3 per cent and 24.7 per cent, respectively. The turnover of futures contracts decreased by 15.3 percent while that of options contract increased by 5.8 per cent over the previous month.</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 xml:space="preserve">At exchange level, the turnover increased at BSE (11.5%), and NSE (9.5%) while it declined at ICEX (27.1%), NCDEX (18.8%) and MCX (12.5%).  </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In terms of percentage share of commodity derivatives turnover among exchanges, the MCX has the highest market share of 87.9 per cent, followed BSE (9.3 per cent), NCDEX (2.7 per cent), NSE (0.1 per cent) and ICEX (0.0003 per cent).</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 xml:space="preserve">At MCX, the turnover of agri. segment increased by 6.9 per cent while non-agri (futures and options) segment turnover decreased by 14.2 per cent.  </w:t>
      </w:r>
    </w:p>
    <w:p w:rsidR="00180355" w:rsidRPr="00BE0292" w:rsidRDefault="00180355" w:rsidP="00180355">
      <w:pPr>
        <w:pStyle w:val="ListParagraph"/>
        <w:numPr>
          <w:ilvl w:val="0"/>
          <w:numId w:val="6"/>
        </w:numPr>
        <w:spacing w:after="0" w:line="240" w:lineRule="auto"/>
        <w:ind w:left="567" w:hanging="526"/>
        <w:jc w:val="both"/>
        <w:rPr>
          <w:rFonts w:ascii="Garamond" w:eastAsia="Times New Roman" w:hAnsi="Garamond"/>
          <w:color w:val="000000"/>
          <w:sz w:val="24"/>
          <w:szCs w:val="24"/>
        </w:rPr>
      </w:pPr>
      <w:r w:rsidRPr="00BE0292">
        <w:rPr>
          <w:rFonts w:ascii="Garamond" w:eastAsia="Times New Roman" w:hAnsi="Garamond"/>
          <w:color w:val="000000"/>
          <w:sz w:val="24"/>
          <w:szCs w:val="24"/>
        </w:rPr>
        <w:t xml:space="preserve">During December 2021, the total turnover at BSE increased by 11.5 per cent to </w:t>
      </w:r>
      <w:r w:rsidRPr="00BE0292">
        <w:rPr>
          <w:rFonts w:ascii="Times New Roman" w:eastAsia="Times New Roman" w:hAnsi="Times New Roman"/>
          <w:bCs/>
          <w:color w:val="000000"/>
          <w:sz w:val="24"/>
          <w:szCs w:val="24"/>
          <w:lang w:val="en-IN" w:eastAsia="en-IN" w:bidi="hi-IN"/>
        </w:rPr>
        <w:t>₹</w:t>
      </w:r>
      <w:r w:rsidRPr="00BE0292">
        <w:rPr>
          <w:rFonts w:ascii="Garamond" w:eastAsia="Times New Roman" w:hAnsi="Garamond"/>
          <w:color w:val="000000"/>
          <w:sz w:val="24"/>
          <w:szCs w:val="24"/>
        </w:rPr>
        <w:t xml:space="preserve">1,05,133 crore. Options contract on gold alone contributed 99.5 per cent to the total turnover.  </w:t>
      </w:r>
    </w:p>
    <w:p w:rsidR="00180355" w:rsidRPr="00BE0292" w:rsidRDefault="00180355" w:rsidP="00180355">
      <w:pPr>
        <w:pStyle w:val="ListParagraph"/>
        <w:numPr>
          <w:ilvl w:val="0"/>
          <w:numId w:val="6"/>
        </w:numPr>
        <w:spacing w:after="0" w:line="240" w:lineRule="auto"/>
        <w:ind w:left="567" w:hanging="526"/>
        <w:jc w:val="both"/>
        <w:rPr>
          <w:rFonts w:ascii="Garamond" w:hAnsi="Garamond" w:cs="Arial"/>
          <w:bCs/>
          <w:sz w:val="24"/>
          <w:szCs w:val="24"/>
        </w:rPr>
      </w:pPr>
      <w:r w:rsidRPr="00BE0292">
        <w:rPr>
          <w:rFonts w:ascii="Garamond" w:eastAsia="Times New Roman" w:hAnsi="Garamond"/>
          <w:color w:val="000000"/>
          <w:sz w:val="24"/>
          <w:szCs w:val="24"/>
        </w:rPr>
        <w:t xml:space="preserve">At NCDEX, during December 2021, the overall turnover decreased by 18.8 per cent to </w:t>
      </w:r>
      <w:r w:rsidRPr="00BE0292">
        <w:rPr>
          <w:rFonts w:ascii="Times New Roman" w:eastAsia="Times New Roman" w:hAnsi="Times New Roman"/>
          <w:bCs/>
          <w:color w:val="000000"/>
          <w:sz w:val="24"/>
          <w:szCs w:val="24"/>
          <w:lang w:val="en-IN" w:eastAsia="en-IN" w:bidi="hi-IN"/>
        </w:rPr>
        <w:t>₹</w:t>
      </w:r>
      <w:r w:rsidRPr="00BE0292">
        <w:rPr>
          <w:rFonts w:ascii="Garamond" w:eastAsia="Times New Roman" w:hAnsi="Garamond"/>
          <w:color w:val="000000"/>
          <w:sz w:val="24"/>
          <w:szCs w:val="24"/>
        </w:rPr>
        <w:t xml:space="preserve">30,243 crore over the previous month.  The turnover in agricultural indices (AGRIDEX, GUARDEX, SOYDEX Index) increased to </w:t>
      </w:r>
      <w:r w:rsidRPr="00BE0292">
        <w:rPr>
          <w:rFonts w:ascii="Times New Roman" w:eastAsia="Times New Roman" w:hAnsi="Times New Roman"/>
          <w:color w:val="000000"/>
          <w:sz w:val="24"/>
          <w:szCs w:val="24"/>
        </w:rPr>
        <w:t>₹</w:t>
      </w:r>
      <w:r w:rsidRPr="00BE0292">
        <w:rPr>
          <w:rFonts w:ascii="Garamond" w:eastAsia="Times New Roman" w:hAnsi="Garamond"/>
          <w:color w:val="000000"/>
          <w:sz w:val="24"/>
          <w:szCs w:val="24"/>
        </w:rPr>
        <w:t xml:space="preserve">17.0 crore from </w:t>
      </w:r>
      <w:r w:rsidRPr="00BE0292">
        <w:rPr>
          <w:rFonts w:ascii="Times New Roman" w:eastAsia="Times New Roman" w:hAnsi="Times New Roman"/>
          <w:color w:val="000000"/>
          <w:sz w:val="24"/>
          <w:szCs w:val="24"/>
        </w:rPr>
        <w:t>₹</w:t>
      </w:r>
      <w:r w:rsidRPr="00BE0292">
        <w:rPr>
          <w:rFonts w:ascii="Garamond" w:eastAsia="Times New Roman" w:hAnsi="Garamond"/>
          <w:color w:val="000000"/>
          <w:sz w:val="24"/>
          <w:szCs w:val="24"/>
        </w:rPr>
        <w:t xml:space="preserve">3.0 crore.  The steel long, the only non-agri commodity traded at NCDEX, recorded turnover of </w:t>
      </w:r>
      <w:r w:rsidRPr="00BE0292">
        <w:rPr>
          <w:rFonts w:ascii="Times New Roman" w:hAnsi="Times New Roman"/>
          <w:bCs/>
          <w:sz w:val="24"/>
          <w:szCs w:val="24"/>
        </w:rPr>
        <w:t>₹</w:t>
      </w:r>
      <w:r w:rsidRPr="00BE0292">
        <w:rPr>
          <w:rFonts w:ascii="Garamond" w:eastAsia="Times New Roman" w:hAnsi="Garamond"/>
          <w:color w:val="000000"/>
          <w:sz w:val="24"/>
          <w:szCs w:val="24"/>
        </w:rPr>
        <w:t>7.0 crore during the month.</w:t>
      </w:r>
      <w:r w:rsidRPr="00BE0292">
        <w:rPr>
          <w:rFonts w:ascii="Garamond" w:hAnsi="Garamond"/>
          <w:bCs/>
          <w:sz w:val="24"/>
          <w:szCs w:val="24"/>
        </w:rPr>
        <w:t xml:space="preserve"> </w:t>
      </w:r>
    </w:p>
    <w:p w:rsidR="00180355" w:rsidRPr="00BE0292" w:rsidRDefault="00180355" w:rsidP="00180355">
      <w:pPr>
        <w:pStyle w:val="ListParagraph"/>
        <w:numPr>
          <w:ilvl w:val="0"/>
          <w:numId w:val="6"/>
        </w:numPr>
        <w:spacing w:after="0" w:line="240" w:lineRule="auto"/>
        <w:ind w:left="567" w:hanging="526"/>
        <w:jc w:val="both"/>
        <w:rPr>
          <w:rFonts w:ascii="Garamond" w:hAnsi="Garamond" w:cs="Arial"/>
          <w:bCs/>
          <w:sz w:val="24"/>
          <w:szCs w:val="24"/>
        </w:rPr>
      </w:pPr>
      <w:r w:rsidRPr="00BE0292">
        <w:rPr>
          <w:rFonts w:ascii="Garamond" w:hAnsi="Garamond" w:cs="Arial"/>
          <w:bCs/>
          <w:sz w:val="24"/>
          <w:szCs w:val="24"/>
        </w:rPr>
        <w:t xml:space="preserve">The </w:t>
      </w:r>
      <w:r w:rsidRPr="00BE0292">
        <w:rPr>
          <w:rFonts w:ascii="Garamond" w:eastAsia="Times New Roman" w:hAnsi="Garamond"/>
          <w:color w:val="000000"/>
          <w:sz w:val="24"/>
          <w:szCs w:val="24"/>
        </w:rPr>
        <w:t>total</w:t>
      </w:r>
      <w:r w:rsidRPr="00BE0292">
        <w:rPr>
          <w:rFonts w:ascii="Garamond" w:hAnsi="Garamond" w:cs="Arial"/>
          <w:bCs/>
          <w:sz w:val="24"/>
          <w:szCs w:val="24"/>
        </w:rPr>
        <w:t xml:space="preserve"> turnover at NSE decreased by 9.5 per cent to </w:t>
      </w:r>
      <w:r w:rsidRPr="00BE0292">
        <w:rPr>
          <w:rFonts w:ascii="Times New Roman" w:hAnsi="Times New Roman"/>
          <w:bCs/>
          <w:sz w:val="24"/>
          <w:szCs w:val="24"/>
        </w:rPr>
        <w:t>₹</w:t>
      </w:r>
      <w:r w:rsidRPr="00BE0292">
        <w:rPr>
          <w:rFonts w:ascii="Garamond" w:hAnsi="Garamond" w:cs="Arial"/>
          <w:bCs/>
          <w:sz w:val="24"/>
          <w:szCs w:val="24"/>
        </w:rPr>
        <w:t xml:space="preserve">1,692 crore during December 2021.  At NSE, the options contract of gold mini alone contributed 99.9 per cent to the total turnover. </w:t>
      </w:r>
    </w:p>
    <w:p w:rsidR="00180355" w:rsidRPr="00BE0292" w:rsidRDefault="00180355" w:rsidP="00180355">
      <w:pPr>
        <w:pStyle w:val="ListParagraph"/>
        <w:numPr>
          <w:ilvl w:val="0"/>
          <w:numId w:val="6"/>
        </w:numPr>
        <w:spacing w:after="0" w:line="240" w:lineRule="auto"/>
        <w:ind w:left="567" w:hanging="526"/>
        <w:jc w:val="both"/>
        <w:rPr>
          <w:rFonts w:ascii="Garamond" w:hAnsi="Garamond" w:cs="Arial"/>
          <w:bCs/>
          <w:sz w:val="24"/>
          <w:szCs w:val="24"/>
        </w:rPr>
      </w:pPr>
      <w:r w:rsidRPr="00BE0292">
        <w:rPr>
          <w:rFonts w:ascii="Garamond" w:hAnsi="Garamond" w:cs="Arial"/>
          <w:bCs/>
          <w:sz w:val="24"/>
          <w:szCs w:val="24"/>
        </w:rPr>
        <w:lastRenderedPageBreak/>
        <w:t xml:space="preserve">The total turnover at ICEX decreased by 27.1 per cent to </w:t>
      </w:r>
      <w:r w:rsidRPr="00BE0292">
        <w:rPr>
          <w:rFonts w:ascii="Times New Roman" w:hAnsi="Times New Roman"/>
          <w:bCs/>
          <w:sz w:val="24"/>
          <w:szCs w:val="24"/>
        </w:rPr>
        <w:t>₹</w:t>
      </w:r>
      <w:r w:rsidRPr="00BE0292">
        <w:rPr>
          <w:rFonts w:ascii="Garamond" w:hAnsi="Garamond"/>
          <w:bCs/>
          <w:sz w:val="24"/>
          <w:szCs w:val="24"/>
        </w:rPr>
        <w:t xml:space="preserve">3 </w:t>
      </w:r>
      <w:r w:rsidRPr="00BE0292">
        <w:rPr>
          <w:rFonts w:ascii="Garamond" w:hAnsi="Garamond" w:cs="Arial"/>
          <w:bCs/>
          <w:sz w:val="24"/>
          <w:szCs w:val="24"/>
        </w:rPr>
        <w:t xml:space="preserve">crores. Presently, the futures contracts of only two commodities namely, steel long and rubber are being traded at ICEX. </w:t>
      </w:r>
    </w:p>
    <w:p w:rsidR="00180355" w:rsidRPr="00BE0292" w:rsidRDefault="00180355" w:rsidP="00180355">
      <w:pPr>
        <w:pStyle w:val="ListParagraph"/>
        <w:numPr>
          <w:ilvl w:val="0"/>
          <w:numId w:val="6"/>
        </w:numPr>
        <w:spacing w:after="0" w:line="240" w:lineRule="auto"/>
        <w:ind w:left="567" w:hanging="526"/>
        <w:jc w:val="both"/>
        <w:rPr>
          <w:rFonts w:ascii="Garamond" w:hAnsi="Garamond" w:cs="Arial"/>
          <w:bCs/>
          <w:sz w:val="24"/>
          <w:szCs w:val="24"/>
        </w:rPr>
      </w:pPr>
      <w:r w:rsidRPr="00BE0292">
        <w:rPr>
          <w:rFonts w:ascii="Garamond" w:hAnsi="Garamond" w:cs="Arial"/>
          <w:bCs/>
          <w:sz w:val="24"/>
          <w:szCs w:val="24"/>
        </w:rPr>
        <w:t xml:space="preserve">The trends in turnover of commodity derivatives at exchanges are shown in Figures 15, 16 and 17 and the details are given in </w:t>
      </w:r>
      <w:r w:rsidRPr="00BE0292">
        <w:rPr>
          <w:rFonts w:ascii="Garamond" w:eastAsia="Times New Roman" w:hAnsi="Garamond"/>
          <w:color w:val="000000"/>
          <w:sz w:val="24"/>
          <w:szCs w:val="24"/>
        </w:rPr>
        <w:t>Tables</w:t>
      </w:r>
      <w:r w:rsidRPr="00BE0292">
        <w:rPr>
          <w:rFonts w:ascii="Garamond" w:hAnsi="Garamond" w:cs="Arial"/>
          <w:bCs/>
          <w:sz w:val="24"/>
          <w:szCs w:val="24"/>
        </w:rPr>
        <w:t xml:space="preserve"> 65 to 69.</w:t>
      </w:r>
    </w:p>
    <w:p w:rsidR="00180355" w:rsidRPr="009803F8" w:rsidRDefault="00180355" w:rsidP="00180355">
      <w:pPr>
        <w:jc w:val="both"/>
        <w:rPr>
          <w:rFonts w:ascii="Palatino Linotype" w:hAnsi="Palatino Linotype" w:cs="Arial"/>
          <w:bCs/>
        </w:rPr>
      </w:pPr>
    </w:p>
    <w:p w:rsidR="00180355" w:rsidRPr="00074C35" w:rsidRDefault="00180355" w:rsidP="00180355">
      <w:pPr>
        <w:pStyle w:val="ListParagraph"/>
        <w:spacing w:after="0" w:line="240" w:lineRule="auto"/>
        <w:ind w:left="142"/>
        <w:jc w:val="center"/>
        <w:rPr>
          <w:rFonts w:ascii="Palatino Linotype" w:hAnsi="Palatino Linotype" w:cs="Arial"/>
          <w:b/>
          <w:bCs/>
          <w:sz w:val="22"/>
          <w:szCs w:val="22"/>
        </w:rPr>
      </w:pPr>
      <w:r w:rsidRPr="00074C35">
        <w:rPr>
          <w:rFonts w:ascii="Palatino Linotype" w:hAnsi="Palatino Linotype" w:cs="Arial"/>
          <w:b/>
          <w:bCs/>
          <w:sz w:val="22"/>
          <w:szCs w:val="22"/>
        </w:rPr>
        <w:t>Figure 15: Trends in Turnover of Agricultural Commodity Derivatives</w:t>
      </w:r>
    </w:p>
    <w:p w:rsidR="00180355" w:rsidRPr="00074C35" w:rsidRDefault="00DD1A9A" w:rsidP="00180355">
      <w:pPr>
        <w:pStyle w:val="ListParagraph"/>
        <w:spacing w:after="0" w:line="240" w:lineRule="auto"/>
        <w:ind w:left="0"/>
        <w:jc w:val="center"/>
        <w:rPr>
          <w:rFonts w:ascii="Palatino Linotype" w:hAnsi="Palatino Linotype" w:cs="Arial"/>
          <w:b/>
          <w:bCs/>
          <w:sz w:val="22"/>
          <w:szCs w:val="22"/>
        </w:rPr>
      </w:pPr>
      <w:r w:rsidRPr="0027682F">
        <w:rPr>
          <w:noProof/>
          <w:lang w:val="en-IN" w:eastAsia="en-IN" w:bidi="hi-IN"/>
        </w:rPr>
        <w:drawing>
          <wp:inline distT="0" distB="0" distL="0" distR="0">
            <wp:extent cx="5759450" cy="2241550"/>
            <wp:effectExtent l="0" t="0" r="12700" b="6350"/>
            <wp:docPr id="1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0355" w:rsidRPr="00074C35" w:rsidRDefault="00180355" w:rsidP="00180355">
      <w:pPr>
        <w:rPr>
          <w:rFonts w:ascii="Palatino Linotype" w:hAnsi="Palatino Linotype"/>
          <w:b/>
          <w:color w:val="0D0D0D"/>
          <w:sz w:val="18"/>
          <w:szCs w:val="18"/>
        </w:rPr>
      </w:pPr>
      <w:r w:rsidRPr="00074C35">
        <w:rPr>
          <w:rFonts w:ascii="Palatino Linotype" w:hAnsi="Palatino Linotype"/>
          <w:b/>
          <w:color w:val="0D0D0D"/>
          <w:sz w:val="18"/>
          <w:szCs w:val="18"/>
        </w:rPr>
        <w:t>Source: MCX, NCDEX, NSE, BSE &amp; ICEX</w:t>
      </w:r>
    </w:p>
    <w:p w:rsidR="00180355" w:rsidRPr="00074C35" w:rsidRDefault="00180355" w:rsidP="00180355">
      <w:pPr>
        <w:pStyle w:val="ListParagraph"/>
        <w:spacing w:after="0" w:line="240" w:lineRule="auto"/>
        <w:ind w:left="426" w:hanging="862"/>
        <w:jc w:val="center"/>
        <w:rPr>
          <w:rFonts w:ascii="Palatino Linotype" w:hAnsi="Palatino Linotype"/>
          <w:b/>
          <w:sz w:val="22"/>
          <w:szCs w:val="22"/>
        </w:rPr>
      </w:pPr>
    </w:p>
    <w:p w:rsidR="00180355" w:rsidRPr="00074C35" w:rsidRDefault="00180355" w:rsidP="00180355">
      <w:pPr>
        <w:pStyle w:val="ListParagraph"/>
        <w:spacing w:after="0" w:line="240" w:lineRule="auto"/>
        <w:ind w:left="426" w:hanging="862"/>
        <w:jc w:val="center"/>
        <w:rPr>
          <w:rFonts w:ascii="Palatino Linotype" w:hAnsi="Palatino Linotype"/>
          <w:b/>
          <w:sz w:val="22"/>
          <w:szCs w:val="22"/>
        </w:rPr>
      </w:pPr>
      <w:r w:rsidRPr="00074C35">
        <w:rPr>
          <w:rFonts w:ascii="Palatino Linotype" w:hAnsi="Palatino Linotype"/>
          <w:b/>
          <w:sz w:val="22"/>
          <w:szCs w:val="22"/>
        </w:rPr>
        <w:t xml:space="preserve">Figure 16: Trends in Turnover of Non-Agricultural Futures contracts </w:t>
      </w:r>
    </w:p>
    <w:p w:rsidR="00180355" w:rsidRPr="00074C35" w:rsidRDefault="00DD1A9A" w:rsidP="00180355">
      <w:pPr>
        <w:pStyle w:val="ListParagraph"/>
        <w:spacing w:after="0" w:line="240" w:lineRule="auto"/>
        <w:ind w:left="426" w:hanging="862"/>
        <w:jc w:val="center"/>
        <w:rPr>
          <w:rFonts w:ascii="Palatino Linotype" w:hAnsi="Palatino Linotype"/>
          <w:b/>
          <w:sz w:val="22"/>
          <w:szCs w:val="22"/>
        </w:rPr>
      </w:pPr>
      <w:r w:rsidRPr="0027682F">
        <w:rPr>
          <w:noProof/>
          <w:lang w:val="en-IN" w:eastAsia="en-IN" w:bidi="hi-IN"/>
        </w:rPr>
        <w:drawing>
          <wp:inline distT="0" distB="0" distL="0" distR="0">
            <wp:extent cx="5988050" cy="2393950"/>
            <wp:effectExtent l="0" t="0" r="12700" b="6350"/>
            <wp:docPr id="1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0355" w:rsidRPr="00074C35" w:rsidRDefault="00180355" w:rsidP="00180355">
      <w:pPr>
        <w:spacing w:line="259" w:lineRule="auto"/>
        <w:rPr>
          <w:rFonts w:ascii="Palatino Linotype" w:hAnsi="Palatino Linotype" w:cs="Arial"/>
          <w:bCs/>
        </w:rPr>
      </w:pPr>
      <w:r w:rsidRPr="00074C35">
        <w:rPr>
          <w:rFonts w:ascii="Palatino Linotype" w:hAnsi="Palatino Linotype"/>
          <w:b/>
          <w:color w:val="0D0D0D"/>
          <w:sz w:val="18"/>
          <w:szCs w:val="18"/>
        </w:rPr>
        <w:t>Source: MCX, NCDEX, NSE, BSE &amp; ICEX.</w:t>
      </w:r>
      <w:r w:rsidRPr="00074C35">
        <w:rPr>
          <w:rFonts w:ascii="Palatino Linotype" w:hAnsi="Palatino Linotype" w:cs="Arial"/>
          <w:bCs/>
        </w:rPr>
        <w:t xml:space="preserve"> </w:t>
      </w:r>
    </w:p>
    <w:p w:rsidR="00180355" w:rsidRPr="00074C35" w:rsidRDefault="00180355" w:rsidP="00180355">
      <w:pPr>
        <w:pStyle w:val="ListParagraph"/>
        <w:spacing w:after="0" w:line="240" w:lineRule="auto"/>
        <w:ind w:left="-284" w:hanging="152"/>
        <w:jc w:val="center"/>
        <w:rPr>
          <w:rFonts w:ascii="Palatino Linotype" w:hAnsi="Palatino Linotype"/>
          <w:b/>
          <w:sz w:val="22"/>
          <w:szCs w:val="22"/>
        </w:rPr>
      </w:pPr>
      <w:r w:rsidRPr="00074C35">
        <w:rPr>
          <w:rFonts w:ascii="Palatino Linotype" w:hAnsi="Palatino Linotype"/>
          <w:b/>
          <w:sz w:val="22"/>
          <w:szCs w:val="22"/>
        </w:rPr>
        <w:t>Figure 17: Trends in Turnover of Non</w:t>
      </w:r>
      <w:r>
        <w:rPr>
          <w:rFonts w:ascii="Palatino Linotype" w:hAnsi="Palatino Linotype"/>
          <w:b/>
          <w:sz w:val="22"/>
          <w:szCs w:val="22"/>
        </w:rPr>
        <w:t>-Agricultural Options contracts</w:t>
      </w:r>
    </w:p>
    <w:p w:rsidR="00180355" w:rsidRPr="00074C35" w:rsidRDefault="00180355" w:rsidP="00180355">
      <w:pPr>
        <w:pStyle w:val="ListParagraph"/>
        <w:spacing w:after="0" w:line="240" w:lineRule="auto"/>
        <w:ind w:left="0"/>
        <w:rPr>
          <w:rFonts w:ascii="Palatino Linotype" w:hAnsi="Palatino Linotype"/>
          <w:b/>
          <w:sz w:val="22"/>
          <w:szCs w:val="22"/>
        </w:rPr>
      </w:pPr>
      <w:r w:rsidRPr="00074C35">
        <w:rPr>
          <w:noProof/>
          <w:lang w:val="en-IN" w:eastAsia="en-IN" w:bidi="hi-IN"/>
        </w:rPr>
        <w:t xml:space="preserve"> </w:t>
      </w:r>
      <w:r w:rsidR="00DD1A9A" w:rsidRPr="0027682F">
        <w:rPr>
          <w:noProof/>
          <w:lang w:val="en-IN" w:eastAsia="en-IN" w:bidi="hi-IN"/>
        </w:rPr>
        <w:drawing>
          <wp:inline distT="0" distB="0" distL="0" distR="0">
            <wp:extent cx="5988050" cy="2089150"/>
            <wp:effectExtent l="0" t="0" r="12700" b="635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80355" w:rsidRPr="00074C35" w:rsidRDefault="00180355" w:rsidP="00180355">
      <w:pPr>
        <w:spacing w:line="259" w:lineRule="auto"/>
        <w:rPr>
          <w:rFonts w:ascii="Palatino Linotype" w:hAnsi="Palatino Linotype" w:cs="Arial"/>
          <w:bCs/>
        </w:rPr>
      </w:pPr>
      <w:r w:rsidRPr="00074C35">
        <w:rPr>
          <w:rFonts w:ascii="Palatino Linotype" w:hAnsi="Palatino Linotype"/>
          <w:b/>
          <w:color w:val="0D0D0D"/>
          <w:sz w:val="18"/>
          <w:szCs w:val="18"/>
        </w:rPr>
        <w:t>Source: MCX, BSE &amp; NSE.</w:t>
      </w:r>
      <w:r w:rsidRPr="00074C35">
        <w:rPr>
          <w:rFonts w:ascii="Palatino Linotype" w:hAnsi="Palatino Linotype" w:cs="Arial"/>
          <w:bCs/>
        </w:rPr>
        <w:t xml:space="preserve">        </w:t>
      </w:r>
    </w:p>
    <w:p w:rsidR="00363C1F" w:rsidRPr="00966FBB" w:rsidRDefault="00E344DD" w:rsidP="005559D2">
      <w:pPr>
        <w:spacing w:line="259" w:lineRule="auto"/>
        <w:rPr>
          <w:rFonts w:ascii="Garamond" w:eastAsia="Times New Roman" w:hAnsi="Garamond"/>
          <w:b/>
          <w:color w:val="1F4E79"/>
          <w:sz w:val="26"/>
          <w:szCs w:val="26"/>
          <w:lang w:val="en-IN" w:eastAsia="en-IN"/>
        </w:rPr>
      </w:pPr>
      <w:r w:rsidRPr="006A6CB3">
        <w:rPr>
          <w:rFonts w:ascii="Garamond" w:hAnsi="Garamond" w:cs="Arial"/>
          <w:bCs/>
        </w:rPr>
        <w:lastRenderedPageBreak/>
        <w:t xml:space="preserve">                                   </w:t>
      </w:r>
      <w:r w:rsidR="00363C1F" w:rsidRPr="00966FBB">
        <w:rPr>
          <w:rFonts w:ascii="Garamond" w:eastAsia="Times New Roman" w:hAnsi="Garamond"/>
          <w:b/>
          <w:color w:val="1F4E79"/>
          <w:sz w:val="26"/>
          <w:szCs w:val="26"/>
          <w:lang w:val="en-IN" w:eastAsia="en-IN"/>
        </w:rPr>
        <w:t>OVERVIEW OF THE GLOBAL FINANCIAL MARKETS</w:t>
      </w:r>
    </w:p>
    <w:p w:rsidR="003C2485" w:rsidRPr="00966FBB" w:rsidRDefault="003C2485">
      <w:pPr>
        <w:rPr>
          <w:rFonts w:ascii="Palatino Linotype" w:hAnsi="Palatino Linotype" w:cs="Arial"/>
          <w:bCs/>
          <w:color w:val="1F4E79"/>
        </w:rPr>
      </w:pPr>
    </w:p>
    <w:p w:rsidR="003C2485" w:rsidRDefault="003C2485">
      <w:pPr>
        <w:rPr>
          <w:rFonts w:ascii="Palatino Linotype" w:hAnsi="Palatino Linotype" w:cs="Arial"/>
          <w:bCs/>
        </w:rPr>
      </w:pPr>
    </w:p>
    <w:p w:rsidR="0018293F" w:rsidRPr="000577B9" w:rsidRDefault="0018293F" w:rsidP="004E40DA">
      <w:pPr>
        <w:numPr>
          <w:ilvl w:val="0"/>
          <w:numId w:val="8"/>
        </w:numPr>
        <w:spacing w:before="100" w:beforeAutospacing="1" w:line="276" w:lineRule="auto"/>
        <w:ind w:right="107"/>
        <w:contextualSpacing/>
        <w:jc w:val="both"/>
        <w:rPr>
          <w:rFonts w:ascii="Garamond" w:eastAsia="Times New Roman" w:hAnsi="Garamond"/>
          <w:b/>
          <w:bCs/>
          <w:lang w:val="en-US"/>
        </w:rPr>
      </w:pPr>
      <w:r w:rsidRPr="000577B9">
        <w:rPr>
          <w:rFonts w:ascii="Garamond" w:eastAsia="Times New Roman" w:hAnsi="Garamond"/>
          <w:b/>
          <w:bCs/>
          <w:lang w:val="en-US"/>
        </w:rPr>
        <w:t>State of Economy</w:t>
      </w:r>
    </w:p>
    <w:p w:rsidR="0018293F" w:rsidRPr="000577B9" w:rsidRDefault="0018293F" w:rsidP="0018293F">
      <w:pPr>
        <w:spacing w:before="100" w:beforeAutospacing="1" w:line="276" w:lineRule="auto"/>
        <w:ind w:left="360" w:right="107"/>
        <w:contextualSpacing/>
        <w:jc w:val="both"/>
        <w:rPr>
          <w:rFonts w:ascii="Garamond" w:eastAsia="Times New Roman" w:hAnsi="Garamond"/>
          <w:lang w:val="en-US"/>
        </w:rPr>
      </w:pPr>
    </w:p>
    <w:p w:rsidR="0018293F" w:rsidRPr="000577B9" w:rsidRDefault="000577B9" w:rsidP="000577B9">
      <w:pPr>
        <w:spacing w:before="100" w:beforeAutospacing="1" w:line="276" w:lineRule="auto"/>
        <w:ind w:left="360" w:right="107"/>
        <w:contextualSpacing/>
        <w:jc w:val="both"/>
        <w:rPr>
          <w:rFonts w:ascii="Garamond" w:eastAsia="Times New Roman" w:hAnsi="Garamond"/>
          <w:b/>
          <w:bCs/>
          <w:lang w:val="en-US"/>
        </w:rPr>
      </w:pPr>
      <w:r>
        <w:rPr>
          <w:rFonts w:ascii="Garamond" w:eastAsia="Times New Roman" w:hAnsi="Garamond"/>
          <w:b/>
          <w:bCs/>
          <w:lang w:val="en-US"/>
        </w:rPr>
        <w:t>Global</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As per World Bank Global Economic Prospects (GEP) – Jan 2022, Global growth is expected to decelerate markedly from 5.5 per cent in 2021 to 4.1 per cent in 2022 and 3.2 per cent in 2023. A notable deceleration in major economies—including the United States and China—is expected to weigh on external demand in emerging and developing economies.</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Growth in advanced economies is expected to decline from 5.0 per cent in 2021 to 3.8 per cent in 2022. While, in emerging and developing economies, growth is expected to drop from 6.3 per cent in 2021 to 4.6 per cent in 2022.</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Globally and in advanced economies, inflation is running at the highest rates since 2008, while, in emerging market and developing economies, it has reached its highest rate since 2011. Many emerging and developing economies are, hence, withdrawing policy support to contain inflationary pressures—well before the recovery is complete.</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As per World Bank, India’s economy is estimated to expand by 8.3 per cent in 2021-22 and 8.7 per cent in next year.</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The JPMorgan Global Composite Output Index, declined to a three-month low of 54.3 in December 2021, from 54.8 in November 2021, due to slower increase in services activity, which were partially offset by faster growth of manufacturing sector.</w:t>
      </w:r>
    </w:p>
    <w:p w:rsidR="00077AF2" w:rsidRPr="005559D2" w:rsidRDefault="00077AF2" w:rsidP="005559D2">
      <w:pPr>
        <w:spacing w:before="100" w:beforeAutospacing="1" w:line="276" w:lineRule="auto"/>
        <w:ind w:left="360" w:right="107"/>
        <w:contextualSpacing/>
        <w:jc w:val="both"/>
        <w:rPr>
          <w:rFonts w:ascii="Garamond" w:eastAsia="Times New Roman" w:hAnsi="Garamond"/>
          <w:highlight w:val="yellow"/>
          <w:lang w:val="en-US"/>
        </w:rPr>
      </w:pPr>
    </w:p>
    <w:p w:rsidR="00077AF2" w:rsidRPr="005559D2" w:rsidRDefault="00077AF2" w:rsidP="005559D2">
      <w:pPr>
        <w:spacing w:before="100" w:beforeAutospacing="1" w:line="276" w:lineRule="auto"/>
        <w:ind w:left="360" w:right="107"/>
        <w:contextualSpacing/>
        <w:jc w:val="both"/>
        <w:rPr>
          <w:rFonts w:ascii="Garamond" w:eastAsia="Times New Roman" w:hAnsi="Garamond"/>
          <w:b/>
          <w:bCs/>
          <w:lang w:val="en-US"/>
        </w:rPr>
      </w:pPr>
      <w:r w:rsidRPr="005559D2">
        <w:rPr>
          <w:rFonts w:ascii="Garamond" w:eastAsia="Times New Roman" w:hAnsi="Garamond"/>
          <w:b/>
          <w:bCs/>
          <w:lang w:val="en-US"/>
        </w:rPr>
        <w:t>United States</w:t>
      </w:r>
    </w:p>
    <w:p w:rsidR="00077AF2" w:rsidRPr="005559D2" w:rsidRDefault="00077AF2" w:rsidP="005559D2">
      <w:pPr>
        <w:numPr>
          <w:ilvl w:val="0"/>
          <w:numId w:val="9"/>
        </w:numPr>
        <w:spacing w:line="276" w:lineRule="auto"/>
        <w:jc w:val="both"/>
        <w:rPr>
          <w:rFonts w:ascii="Garamond" w:eastAsia="Times New Roman" w:hAnsi="Garamond"/>
          <w:b/>
          <w:bCs/>
          <w:lang w:val="en-US"/>
        </w:rPr>
      </w:pPr>
      <w:r w:rsidRPr="005559D2">
        <w:rPr>
          <w:rFonts w:ascii="Garamond" w:eastAsia="Times New Roman" w:hAnsi="Garamond"/>
          <w:lang w:val="en-US"/>
        </w:rPr>
        <w:t>Third estimate of GDP released by Bureau of Economic Analysis, US Department of Commerce, on December 22, 2021, shows that the real GDP in US increased at annual rate of 2.3 per cent (Q-o-Q) in Q3, 2021, as compared to 6.7 per cent in Q2, 2021.</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 xml:space="preserve">Federal Reserve Board in its FOMC meeting held in December, 2021, maintained an accommodative stance of monetary policy and kept the target range for the federal funds rate at 0 to 0.25 per cent. FOMC decided to double the pace of reduction in its net asset purchases of Treasury securities and agency mortgage-backed securities. </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Seasonally adjusted CPI (All Urban Consumers) increased to 0.5 per cent (M-o-M) in December 2021, after rising 0.8 per cent in previous month. Over past 12 months, the inflation index increased by 7.0 per cent in December 2021.</w:t>
      </w:r>
    </w:p>
    <w:p w:rsidR="00077AF2" w:rsidRPr="005559D2" w:rsidRDefault="00077AF2" w:rsidP="005559D2">
      <w:pPr>
        <w:numPr>
          <w:ilvl w:val="0"/>
          <w:numId w:val="9"/>
        </w:numPr>
        <w:spacing w:before="100" w:beforeAutospacing="1" w:line="276" w:lineRule="auto"/>
        <w:ind w:right="107"/>
        <w:contextualSpacing/>
        <w:jc w:val="both"/>
        <w:rPr>
          <w:rFonts w:ascii="Garamond" w:eastAsia="Times New Roman" w:hAnsi="Garamond"/>
          <w:lang w:val="en-US"/>
        </w:rPr>
      </w:pPr>
      <w:r w:rsidRPr="005559D2">
        <w:rPr>
          <w:rFonts w:ascii="Garamond" w:eastAsia="Times New Roman" w:hAnsi="Garamond"/>
          <w:lang w:val="en-US"/>
        </w:rPr>
        <w:t>The Unemployment rate decreased to 3.9 per cent in December 2021, as compared to 4.2 per cent in previous month.</w:t>
      </w:r>
    </w:p>
    <w:p w:rsidR="00077AF2" w:rsidRPr="005559D2" w:rsidRDefault="00077AF2" w:rsidP="005559D2">
      <w:pPr>
        <w:spacing w:before="100" w:beforeAutospacing="1" w:line="276" w:lineRule="auto"/>
        <w:ind w:left="360" w:right="107"/>
        <w:contextualSpacing/>
        <w:jc w:val="both"/>
        <w:rPr>
          <w:rFonts w:ascii="Garamond" w:eastAsia="Times New Roman" w:hAnsi="Garamond"/>
          <w:highlight w:val="yellow"/>
          <w:lang w:val="en-US"/>
        </w:rPr>
      </w:pPr>
    </w:p>
    <w:p w:rsidR="00077AF2" w:rsidRPr="005559D2" w:rsidRDefault="00077AF2" w:rsidP="005559D2">
      <w:pPr>
        <w:spacing w:before="100" w:beforeAutospacing="1" w:line="276" w:lineRule="auto"/>
        <w:ind w:left="360" w:right="107"/>
        <w:contextualSpacing/>
        <w:jc w:val="both"/>
        <w:rPr>
          <w:rFonts w:ascii="Garamond" w:eastAsia="Times New Roman" w:hAnsi="Garamond"/>
          <w:b/>
          <w:bCs/>
          <w:lang w:val="en-US"/>
        </w:rPr>
      </w:pPr>
      <w:r w:rsidRPr="005559D2">
        <w:rPr>
          <w:rFonts w:ascii="Garamond" w:eastAsia="Times New Roman" w:hAnsi="Garamond"/>
          <w:b/>
          <w:bCs/>
          <w:lang w:val="en-US"/>
        </w:rPr>
        <w:t>United Kingdom</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As per latest quarterly estimates of GDP released by Office of National Statistics on December 22, 2021, UK GDP increased by 1.1 per cent (Q-o-Q) in Q3 2021, as compared to a growth of 5.4 per cent in Q2, 2021. UK GDP contracted by 1.3 per cent in Q1, 2021.</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The household saving ratio decreased to 8.6 per cent in Q3 2021 compared with 10.7 per cent in Q2, 2021</w:t>
      </w:r>
      <w:r w:rsidR="00557F52" w:rsidRPr="005559D2">
        <w:rPr>
          <w:rFonts w:ascii="Garamond" w:eastAsia="Times New Roman" w:hAnsi="Garamond"/>
          <w:lang w:val="en-US"/>
        </w:rPr>
        <w:t>.</w:t>
      </w:r>
    </w:p>
    <w:p w:rsidR="00557F52" w:rsidRPr="005559D2" w:rsidRDefault="00557F5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Durin</w:t>
      </w:r>
      <w:r w:rsidR="00FD328B">
        <w:rPr>
          <w:rFonts w:ascii="Garamond" w:eastAsia="Times New Roman" w:hAnsi="Garamond"/>
          <w:lang w:val="en-US"/>
        </w:rPr>
        <w:t>g December 2021, CPI rose by 5.4 per cent as compared to 5.1</w:t>
      </w:r>
      <w:r w:rsidRPr="005559D2">
        <w:rPr>
          <w:rFonts w:ascii="Garamond" w:eastAsia="Times New Roman" w:hAnsi="Garamond"/>
          <w:lang w:val="en-US"/>
        </w:rPr>
        <w:t xml:space="preserve"> per cent in previous month. </w:t>
      </w:r>
    </w:p>
    <w:p w:rsidR="00557F52" w:rsidRPr="005559D2" w:rsidRDefault="00557F52" w:rsidP="005559D2">
      <w:pPr>
        <w:numPr>
          <w:ilvl w:val="0"/>
          <w:numId w:val="9"/>
        </w:numPr>
        <w:spacing w:line="276" w:lineRule="auto"/>
        <w:rPr>
          <w:rFonts w:ascii="Garamond" w:eastAsia="Times New Roman" w:hAnsi="Garamond"/>
          <w:lang w:val="en-US"/>
        </w:rPr>
      </w:pPr>
      <w:r w:rsidRPr="005559D2">
        <w:rPr>
          <w:rFonts w:ascii="Garamond" w:eastAsia="Times New Roman" w:hAnsi="Garamond"/>
          <w:lang w:val="en-US"/>
        </w:rPr>
        <w:lastRenderedPageBreak/>
        <w:t>The UK unemployment rate fell to 4.1 per cent for September to November 2021 period as compared to 4.2 per cent in August to October 2021.</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In its Monetary Policy meeting held in December, 2021, Bank of England increased the Bank Rate at by 0.15 percentage points to 0.25 per cent.</w:t>
      </w:r>
    </w:p>
    <w:p w:rsidR="00077AF2" w:rsidRPr="005559D2" w:rsidRDefault="00DE65CE"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IH</w:t>
      </w:r>
      <w:r w:rsidR="00077AF2" w:rsidRPr="005559D2">
        <w:rPr>
          <w:rFonts w:ascii="Garamond" w:eastAsia="Times New Roman" w:hAnsi="Garamond"/>
          <w:lang w:val="en-US"/>
        </w:rPr>
        <w:t>S Markit UK Manufacturing PMI declined marginally to 57.9 in December, from November's three-month high of 58.1. However, Services PMI declined sharply to 53.6 in December from 58.5 in previous month.</w:t>
      </w:r>
    </w:p>
    <w:p w:rsidR="00077AF2" w:rsidRPr="005559D2" w:rsidRDefault="00077AF2" w:rsidP="005559D2">
      <w:pPr>
        <w:spacing w:before="100" w:beforeAutospacing="1" w:line="276" w:lineRule="auto"/>
        <w:ind w:left="360" w:right="107"/>
        <w:contextualSpacing/>
        <w:jc w:val="both"/>
        <w:rPr>
          <w:rFonts w:ascii="Garamond" w:eastAsia="Times New Roman" w:hAnsi="Garamond"/>
          <w:highlight w:val="yellow"/>
          <w:lang w:val="en-US"/>
        </w:rPr>
      </w:pPr>
    </w:p>
    <w:p w:rsidR="00077AF2" w:rsidRPr="005559D2" w:rsidRDefault="00077AF2" w:rsidP="005559D2">
      <w:pPr>
        <w:spacing w:before="100" w:beforeAutospacing="1" w:line="276" w:lineRule="auto"/>
        <w:ind w:left="360" w:right="107"/>
        <w:contextualSpacing/>
        <w:jc w:val="both"/>
        <w:rPr>
          <w:rFonts w:ascii="Garamond" w:eastAsia="Times New Roman" w:hAnsi="Garamond"/>
          <w:b/>
          <w:bCs/>
          <w:lang w:val="en-US"/>
        </w:rPr>
      </w:pPr>
      <w:r w:rsidRPr="005559D2">
        <w:rPr>
          <w:rFonts w:ascii="Garamond" w:eastAsia="Times New Roman" w:hAnsi="Garamond"/>
          <w:b/>
          <w:bCs/>
          <w:lang w:val="en-US"/>
        </w:rPr>
        <w:t>Euro area</w:t>
      </w:r>
    </w:p>
    <w:p w:rsidR="00077AF2" w:rsidRPr="005559D2" w:rsidRDefault="00077AF2" w:rsidP="005559D2">
      <w:pPr>
        <w:spacing w:before="100" w:beforeAutospacing="1" w:line="276" w:lineRule="auto"/>
        <w:ind w:left="360" w:right="107"/>
        <w:contextualSpacing/>
        <w:jc w:val="both"/>
        <w:rPr>
          <w:rFonts w:ascii="Garamond" w:eastAsia="Times New Roman" w:hAnsi="Garamond"/>
          <w:highlight w:val="yellow"/>
          <w:lang w:val="en-US"/>
        </w:rPr>
      </w:pP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As per estimates of GDP released by Eurostat (the statistical office of the European Union), GDP increased by 2.2 per cent (Q-o-Q) in euro area in Q3, 2021, as compared to a growth of 2.2 per cent in Q2 2021.</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During Q3, 2021, household saving rate in the euro area declined to 15.0 per cent from 19.0 per cent in Q2, 2021.</w:t>
      </w:r>
    </w:p>
    <w:p w:rsidR="00077AF2" w:rsidRPr="005559D2" w:rsidRDefault="00077AF2" w:rsidP="005559D2">
      <w:pPr>
        <w:numPr>
          <w:ilvl w:val="0"/>
          <w:numId w:val="9"/>
        </w:numPr>
        <w:spacing w:line="276" w:lineRule="auto"/>
        <w:jc w:val="both"/>
        <w:rPr>
          <w:rFonts w:ascii="Garamond" w:eastAsia="Times New Roman" w:hAnsi="Garamond"/>
          <w:lang w:val="en-US"/>
        </w:rPr>
      </w:pPr>
      <w:r w:rsidRPr="005559D2">
        <w:rPr>
          <w:rFonts w:ascii="Garamond" w:eastAsia="Times New Roman" w:hAnsi="Garamond"/>
          <w:lang w:val="en-US"/>
        </w:rPr>
        <w:t xml:space="preserve">As per flash estimates released by Eurostat, euro area annual inflation increased to 5.0 per cent in December 2021, from 4.9 per cent in previous month. </w:t>
      </w:r>
    </w:p>
    <w:p w:rsidR="00077AF2" w:rsidRPr="005559D2" w:rsidRDefault="00077AF2" w:rsidP="005559D2">
      <w:pPr>
        <w:spacing w:before="100" w:beforeAutospacing="1" w:line="276" w:lineRule="auto"/>
        <w:ind w:right="107"/>
        <w:contextualSpacing/>
        <w:jc w:val="both"/>
        <w:rPr>
          <w:rFonts w:ascii="Garamond" w:eastAsia="Times New Roman" w:hAnsi="Garamond"/>
          <w:lang w:val="en-US"/>
        </w:rPr>
      </w:pPr>
    </w:p>
    <w:p w:rsidR="00077AF2" w:rsidRPr="005559D2" w:rsidRDefault="00077AF2" w:rsidP="005559D2">
      <w:pPr>
        <w:spacing w:before="100" w:beforeAutospacing="1" w:line="276" w:lineRule="auto"/>
        <w:ind w:left="360" w:right="107"/>
        <w:contextualSpacing/>
        <w:jc w:val="both"/>
        <w:rPr>
          <w:rFonts w:ascii="Garamond" w:eastAsia="Times New Roman" w:hAnsi="Garamond"/>
          <w:b/>
          <w:bCs/>
          <w:lang w:val="en-US"/>
        </w:rPr>
      </w:pPr>
      <w:r w:rsidRPr="005559D2">
        <w:rPr>
          <w:rFonts w:ascii="Garamond" w:eastAsia="Times New Roman" w:hAnsi="Garamond"/>
          <w:b/>
          <w:bCs/>
          <w:lang w:val="en-US"/>
        </w:rPr>
        <w:t>India</w:t>
      </w:r>
    </w:p>
    <w:p w:rsidR="00077AF2" w:rsidRPr="005559D2" w:rsidRDefault="00077AF2" w:rsidP="005559D2">
      <w:pPr>
        <w:spacing w:before="100" w:beforeAutospacing="1" w:line="276" w:lineRule="auto"/>
        <w:ind w:right="107"/>
        <w:contextualSpacing/>
        <w:jc w:val="both"/>
        <w:rPr>
          <w:rFonts w:ascii="Garamond" w:eastAsia="Times New Roman" w:hAnsi="Garamond"/>
          <w:highlight w:val="yellow"/>
          <w:lang w:val="en-US"/>
        </w:rPr>
      </w:pPr>
    </w:p>
    <w:p w:rsidR="00077AF2" w:rsidRPr="005559D2" w:rsidRDefault="00077AF2" w:rsidP="005559D2">
      <w:pPr>
        <w:numPr>
          <w:ilvl w:val="0"/>
          <w:numId w:val="9"/>
        </w:numPr>
        <w:spacing w:before="100" w:beforeAutospacing="1" w:line="276" w:lineRule="auto"/>
        <w:ind w:right="107"/>
        <w:contextualSpacing/>
        <w:jc w:val="both"/>
        <w:rPr>
          <w:rFonts w:ascii="Garamond" w:eastAsia="Times New Roman" w:hAnsi="Garamond"/>
          <w:lang w:val="en-US"/>
        </w:rPr>
      </w:pPr>
      <w:r w:rsidRPr="005559D2">
        <w:rPr>
          <w:rFonts w:ascii="Garamond" w:eastAsia="Times New Roman" w:hAnsi="Garamond"/>
          <w:lang w:val="en-US"/>
        </w:rPr>
        <w:t xml:space="preserve">As per first advance estimates of GDP released by MOSPI on Jan 07, 2022, real GDP for 2021-22 increased by 9.2 per cent (Y-o-Y), as compared to a contraction of 7.3 per cent in 2020-21.  </w:t>
      </w:r>
    </w:p>
    <w:p w:rsidR="00077AF2" w:rsidRPr="005559D2" w:rsidRDefault="00077AF2" w:rsidP="005559D2">
      <w:pPr>
        <w:numPr>
          <w:ilvl w:val="0"/>
          <w:numId w:val="9"/>
        </w:numPr>
        <w:spacing w:before="100" w:beforeAutospacing="1" w:line="276" w:lineRule="auto"/>
        <w:ind w:right="107"/>
        <w:contextualSpacing/>
        <w:jc w:val="both"/>
        <w:rPr>
          <w:rFonts w:ascii="Garamond" w:eastAsia="Times New Roman" w:hAnsi="Garamond"/>
          <w:lang w:val="en-US"/>
        </w:rPr>
      </w:pPr>
      <w:r w:rsidRPr="005559D2">
        <w:rPr>
          <w:rFonts w:ascii="Garamond" w:eastAsia="Times New Roman" w:hAnsi="Garamond"/>
          <w:lang w:val="en-US"/>
        </w:rPr>
        <w:t xml:space="preserve">During 2021-22, GVA at basic price for Agriculture sector is estimated to increase by 3.9 per cent, while, for manufacturing and mining activities, it is expected to grow by 12.5 per cent and 14.3 per cent, respectively. </w:t>
      </w:r>
    </w:p>
    <w:p w:rsidR="00077AF2" w:rsidRPr="005559D2" w:rsidRDefault="00077AF2" w:rsidP="005559D2">
      <w:pPr>
        <w:numPr>
          <w:ilvl w:val="0"/>
          <w:numId w:val="9"/>
        </w:numPr>
        <w:spacing w:before="100" w:beforeAutospacing="1" w:line="276" w:lineRule="auto"/>
        <w:ind w:right="107"/>
        <w:contextualSpacing/>
        <w:jc w:val="both"/>
        <w:rPr>
          <w:rFonts w:ascii="Garamond" w:eastAsia="Times New Roman" w:hAnsi="Garamond"/>
          <w:lang w:val="en-US"/>
        </w:rPr>
      </w:pPr>
      <w:r w:rsidRPr="005559D2">
        <w:rPr>
          <w:rFonts w:ascii="Garamond" w:eastAsia="Times New Roman" w:hAnsi="Garamond"/>
          <w:lang w:val="en-US"/>
        </w:rPr>
        <w:t>CPI inflation in December 2021 (provisional), increased to 5.6 per cent from 4.9 per cent in previous month.</w:t>
      </w:r>
    </w:p>
    <w:p w:rsidR="00077AF2" w:rsidRPr="005559D2" w:rsidRDefault="00077AF2" w:rsidP="005559D2">
      <w:pPr>
        <w:numPr>
          <w:ilvl w:val="0"/>
          <w:numId w:val="9"/>
        </w:numPr>
        <w:spacing w:before="100" w:beforeAutospacing="1" w:line="276" w:lineRule="auto"/>
        <w:ind w:right="107"/>
        <w:contextualSpacing/>
        <w:jc w:val="both"/>
        <w:rPr>
          <w:rFonts w:ascii="Garamond" w:eastAsia="Times New Roman" w:hAnsi="Garamond"/>
          <w:lang w:val="en-US"/>
        </w:rPr>
      </w:pPr>
      <w:r w:rsidRPr="005559D2">
        <w:rPr>
          <w:rFonts w:ascii="Garamond" w:eastAsia="Times New Roman" w:hAnsi="Garamond"/>
          <w:lang w:val="en-US"/>
        </w:rPr>
        <w:t>As per quick estimates released by MOSPI, IIP increased by 1.4 per cent (Y-o-Y) in November 2021 as compared to 4.0 per cent increase in previous month.</w:t>
      </w:r>
    </w:p>
    <w:p w:rsidR="00077AF2" w:rsidRPr="005559D2" w:rsidRDefault="00077AF2" w:rsidP="005559D2">
      <w:pPr>
        <w:spacing w:before="100" w:beforeAutospacing="1" w:line="276" w:lineRule="auto"/>
        <w:ind w:left="360" w:right="107"/>
        <w:contextualSpacing/>
        <w:jc w:val="both"/>
        <w:rPr>
          <w:rFonts w:ascii="Garamond" w:eastAsia="Times New Roman" w:hAnsi="Garamond"/>
          <w:lang w:val="en-US"/>
        </w:rPr>
      </w:pPr>
    </w:p>
    <w:p w:rsidR="00077AF2" w:rsidRPr="005559D2" w:rsidRDefault="00077AF2" w:rsidP="005559D2">
      <w:pPr>
        <w:spacing w:before="100" w:beforeAutospacing="1" w:line="276" w:lineRule="auto"/>
        <w:ind w:right="107"/>
        <w:contextualSpacing/>
        <w:jc w:val="both"/>
        <w:rPr>
          <w:rFonts w:ascii="Garamond" w:eastAsia="Times New Roman" w:hAnsi="Garamond"/>
          <w:lang w:val="en-US"/>
        </w:rPr>
      </w:pPr>
    </w:p>
    <w:p w:rsidR="00077AF2" w:rsidRPr="005559D2" w:rsidRDefault="00077AF2" w:rsidP="005559D2">
      <w:pPr>
        <w:numPr>
          <w:ilvl w:val="0"/>
          <w:numId w:val="28"/>
        </w:numPr>
        <w:spacing w:before="100" w:beforeAutospacing="1" w:line="276" w:lineRule="auto"/>
        <w:ind w:right="107"/>
        <w:contextualSpacing/>
        <w:jc w:val="both"/>
        <w:rPr>
          <w:rFonts w:ascii="Garamond" w:eastAsia="Times New Roman" w:hAnsi="Garamond"/>
          <w:b/>
          <w:lang w:val="en-US" w:eastAsia="en-GB"/>
        </w:rPr>
      </w:pPr>
      <w:r w:rsidRPr="005559D2">
        <w:rPr>
          <w:rFonts w:ascii="Garamond" w:eastAsia="Times New Roman" w:hAnsi="Garamond"/>
          <w:b/>
          <w:bCs/>
          <w:lang w:val="en-US"/>
        </w:rPr>
        <w:t>Market</w:t>
      </w:r>
      <w:r w:rsidRPr="005559D2">
        <w:rPr>
          <w:rFonts w:ascii="Garamond" w:eastAsia="Times New Roman" w:hAnsi="Garamond"/>
          <w:b/>
          <w:lang w:val="en-US" w:eastAsia="en-GB"/>
        </w:rPr>
        <w:t xml:space="preserve"> Trends – </w:t>
      </w:r>
    </w:p>
    <w:p w:rsidR="00077AF2" w:rsidRPr="005559D2" w:rsidRDefault="00077AF2" w:rsidP="005559D2">
      <w:pPr>
        <w:spacing w:line="276" w:lineRule="auto"/>
        <w:ind w:left="180"/>
        <w:contextualSpacing/>
        <w:rPr>
          <w:rFonts w:ascii="Garamond" w:eastAsia="Times New Roman" w:hAnsi="Garamond"/>
          <w:b/>
          <w:lang w:val="en-US" w:eastAsia="en-GB"/>
        </w:rPr>
      </w:pPr>
    </w:p>
    <w:p w:rsidR="00077AF2" w:rsidRPr="005559D2" w:rsidRDefault="00077AF2" w:rsidP="005559D2">
      <w:pPr>
        <w:spacing w:line="276" w:lineRule="auto"/>
        <w:ind w:left="720"/>
        <w:contextualSpacing/>
        <w:rPr>
          <w:rFonts w:ascii="Garamond" w:eastAsia="Times New Roman" w:hAnsi="Garamond"/>
          <w:b/>
          <w:lang w:val="en-US" w:eastAsia="en-GB"/>
        </w:rPr>
      </w:pPr>
      <w:r w:rsidRPr="005559D2">
        <w:rPr>
          <w:rFonts w:ascii="Garamond" w:eastAsia="Times New Roman" w:hAnsi="Garamond"/>
          <w:b/>
          <w:u w:val="single"/>
          <w:lang w:val="en-US" w:eastAsia="en-GB"/>
        </w:rPr>
        <w:t xml:space="preserve">Equity Markets </w:t>
      </w: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During December 2021, amongst the BRICS countries, highest annualized monthly volatility was observed in Russian Traded index (29.6 per cent), while Shanghai SE Composite index (China) recorded the lowest volatility of 10.7 per cent.</w:t>
      </w: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In terms of monthly movement in indices, FTSE/JSE Africa index of South Africa recorded highest increase of 4.6 per cent, while Russian Traded index recoded highest decline of 2.3 per cent during December 2021.</w:t>
      </w:r>
    </w:p>
    <w:p w:rsidR="00077AF2" w:rsidRPr="005559D2" w:rsidRDefault="00077AF2" w:rsidP="005559D2">
      <w:pPr>
        <w:numPr>
          <w:ilvl w:val="0"/>
          <w:numId w:val="10"/>
        </w:numPr>
        <w:spacing w:line="276" w:lineRule="auto"/>
        <w:jc w:val="both"/>
        <w:rPr>
          <w:rFonts w:ascii="Garamond" w:eastAsia="Times New Roman" w:hAnsi="Garamond"/>
          <w:bCs/>
          <w:color w:val="FF0000"/>
          <w:lang w:val="en-US" w:eastAsia="en-GB"/>
        </w:rPr>
      </w:pPr>
      <w:r w:rsidRPr="005559D2">
        <w:rPr>
          <w:rFonts w:ascii="Garamond" w:eastAsia="Times New Roman" w:hAnsi="Garamond"/>
          <w:bCs/>
          <w:lang w:val="en-US" w:eastAsia="en-GB"/>
        </w:rPr>
        <w:lastRenderedPageBreak/>
        <w:t>Among select developed markets</w:t>
      </w:r>
      <w:r w:rsidRPr="005559D2">
        <w:rPr>
          <w:rStyle w:val="FootnoteReference"/>
          <w:rFonts w:ascii="Garamond" w:eastAsia="Times New Roman" w:hAnsi="Garamond"/>
          <w:bCs/>
          <w:lang w:val="en-US" w:eastAsia="en-GB"/>
        </w:rPr>
        <w:footnoteReference w:id="7"/>
      </w:r>
      <w:r w:rsidRPr="005559D2">
        <w:rPr>
          <w:rFonts w:ascii="Garamond" w:eastAsia="Times New Roman" w:hAnsi="Garamond"/>
          <w:bCs/>
          <w:lang w:val="en-US" w:eastAsia="en-GB"/>
        </w:rPr>
        <w:t xml:space="preserve">, Nasdaq Composite index of the US was most volatile index (22.8 per cent) during December 2021, while, Taiwan Taiex index exhibited least volatility (7.9 per cent) during the month. </w:t>
      </w:r>
    </w:p>
    <w:p w:rsidR="00077AF2" w:rsidRPr="005559D2" w:rsidRDefault="00077AF2" w:rsidP="005559D2">
      <w:pPr>
        <w:numPr>
          <w:ilvl w:val="0"/>
          <w:numId w:val="10"/>
        </w:numPr>
        <w:spacing w:line="276" w:lineRule="auto"/>
        <w:jc w:val="both"/>
        <w:rPr>
          <w:rFonts w:ascii="Garamond" w:eastAsia="Times New Roman" w:hAnsi="Garamond"/>
          <w:bCs/>
          <w:color w:val="FF0000"/>
          <w:lang w:val="en-US" w:eastAsia="en-GB"/>
        </w:rPr>
      </w:pPr>
      <w:r w:rsidRPr="005559D2">
        <w:rPr>
          <w:rFonts w:ascii="Garamond" w:eastAsia="Times New Roman" w:hAnsi="Garamond"/>
          <w:bCs/>
          <w:lang w:val="en-US" w:eastAsia="en-GB"/>
        </w:rPr>
        <w:t>During December 2021, CAC40 index of France was top gainer with return of 6.4 per cent, while Hang Seng index of Hong Kong registered a highest decline of 0.3 percent, among the select developed market indices.</w:t>
      </w: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The MSCI World Index, which is a broad global equity index that represents large and mid-cap equity performance across 23 developed markets, increased by 4.2 per cent in December 2021.</w:t>
      </w: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MSCI All Country World Price Index (MSCI ACWI), which represent performance of set of large- and mid-cap stocks across 23 developed and 27 emerging markets, also moved up by 3.9 per cent during the month.</w:t>
      </w:r>
    </w:p>
    <w:p w:rsidR="00077AF2" w:rsidRPr="005559D2" w:rsidRDefault="00077AF2" w:rsidP="005559D2">
      <w:pPr>
        <w:pStyle w:val="ListParagraph"/>
        <w:rPr>
          <w:rFonts w:ascii="Garamond" w:eastAsia="Times New Roman" w:hAnsi="Garamond"/>
          <w:bCs/>
          <w:strike/>
          <w:sz w:val="24"/>
          <w:szCs w:val="24"/>
          <w:lang w:eastAsia="en-GB"/>
        </w:rPr>
      </w:pPr>
    </w:p>
    <w:p w:rsidR="00077AF2" w:rsidRPr="005559D2" w:rsidRDefault="00077AF2" w:rsidP="005559D2">
      <w:pPr>
        <w:spacing w:line="276" w:lineRule="auto"/>
        <w:rPr>
          <w:rFonts w:ascii="Garamond" w:hAnsi="Garamond"/>
          <w:b/>
          <w:bCs/>
        </w:rPr>
      </w:pPr>
      <w:r w:rsidRPr="005559D2">
        <w:rPr>
          <w:rFonts w:ascii="Garamond" w:hAnsi="Garamond"/>
          <w:b/>
          <w:bCs/>
        </w:rPr>
        <w:t>Table 1: Performance of Stock Indices</w:t>
      </w:r>
    </w:p>
    <w:tbl>
      <w:tblPr>
        <w:tblW w:w="10325" w:type="dxa"/>
        <w:tblLook w:val="04A0" w:firstRow="1" w:lastRow="0" w:firstColumn="1" w:lastColumn="0" w:noHBand="0" w:noVBand="1"/>
      </w:tblPr>
      <w:tblGrid>
        <w:gridCol w:w="1337"/>
        <w:gridCol w:w="2020"/>
        <w:gridCol w:w="1220"/>
        <w:gridCol w:w="1084"/>
        <w:gridCol w:w="948"/>
        <w:gridCol w:w="1012"/>
        <w:gridCol w:w="748"/>
        <w:gridCol w:w="1171"/>
        <w:gridCol w:w="828"/>
      </w:tblGrid>
      <w:tr w:rsidR="00077AF2" w:rsidRPr="005559D2" w:rsidTr="005559D2">
        <w:trPr>
          <w:trHeight w:val="178"/>
        </w:trPr>
        <w:tc>
          <w:tcPr>
            <w:tcW w:w="133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Country</w:t>
            </w:r>
          </w:p>
        </w:tc>
        <w:tc>
          <w:tcPr>
            <w:tcW w:w="2020"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Index</w:t>
            </w:r>
          </w:p>
        </w:tc>
        <w:tc>
          <w:tcPr>
            <w:tcW w:w="1220" w:type="dxa"/>
            <w:tcBorders>
              <w:top w:val="single" w:sz="8" w:space="0" w:color="auto"/>
              <w:left w:val="nil"/>
              <w:bottom w:val="nil"/>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Closing Value as on</w:t>
            </w:r>
          </w:p>
        </w:tc>
        <w:tc>
          <w:tcPr>
            <w:tcW w:w="3794" w:type="dxa"/>
            <w:gridSpan w:val="4"/>
            <w:tcBorders>
              <w:top w:val="single" w:sz="8" w:space="0" w:color="auto"/>
              <w:left w:val="nil"/>
              <w:bottom w:val="single" w:sz="8" w:space="0" w:color="auto"/>
              <w:right w:val="single" w:sz="8" w:space="0" w:color="000000"/>
            </w:tcBorders>
            <w:shd w:val="clear" w:color="000000" w:fill="B4C6E7"/>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Percentage Change in Closing Value over period</w:t>
            </w:r>
          </w:p>
        </w:tc>
        <w:tc>
          <w:tcPr>
            <w:tcW w:w="1124" w:type="dxa"/>
            <w:tcBorders>
              <w:top w:val="single" w:sz="8" w:space="0" w:color="auto"/>
              <w:left w:val="single" w:sz="8" w:space="0" w:color="auto"/>
              <w:right w:val="single" w:sz="8" w:space="0" w:color="auto"/>
            </w:tcBorders>
            <w:shd w:val="clear" w:color="auto" w:fill="BDD6EE"/>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Annualised</w:t>
            </w:r>
          </w:p>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 xml:space="preserve">Volatility </w:t>
            </w:r>
          </w:p>
        </w:tc>
        <w:tc>
          <w:tcPr>
            <w:tcW w:w="828" w:type="dxa"/>
            <w:tcBorders>
              <w:top w:val="single" w:sz="8" w:space="0" w:color="auto"/>
              <w:left w:val="single" w:sz="8" w:space="0" w:color="auto"/>
              <w:right w:val="single" w:sz="8" w:space="0" w:color="auto"/>
            </w:tcBorders>
            <w:shd w:val="clear" w:color="auto" w:fill="BDD6EE"/>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P/E Ratio</w:t>
            </w:r>
          </w:p>
        </w:tc>
      </w:tr>
      <w:tr w:rsidR="00077AF2" w:rsidRPr="005559D2" w:rsidTr="005559D2">
        <w:trPr>
          <w:trHeight w:val="273"/>
        </w:trPr>
        <w:tc>
          <w:tcPr>
            <w:tcW w:w="1337" w:type="dxa"/>
            <w:vMerge/>
            <w:tcBorders>
              <w:top w:val="single" w:sz="8" w:space="0" w:color="auto"/>
              <w:left w:val="single" w:sz="8" w:space="0" w:color="auto"/>
              <w:bottom w:val="single" w:sz="8" w:space="0" w:color="000000"/>
              <w:right w:val="single" w:sz="8" w:space="0" w:color="auto"/>
            </w:tcBorders>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p>
        </w:tc>
        <w:tc>
          <w:tcPr>
            <w:tcW w:w="1220" w:type="dxa"/>
            <w:tcBorders>
              <w:top w:val="nil"/>
              <w:left w:val="nil"/>
              <w:bottom w:val="single" w:sz="8" w:space="0" w:color="auto"/>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31-Dec-21</w:t>
            </w:r>
          </w:p>
        </w:tc>
        <w:tc>
          <w:tcPr>
            <w:tcW w:w="1084" w:type="dxa"/>
            <w:tcBorders>
              <w:top w:val="nil"/>
              <w:left w:val="nil"/>
              <w:bottom w:val="single" w:sz="8" w:space="0" w:color="auto"/>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1-Month</w:t>
            </w:r>
          </w:p>
        </w:tc>
        <w:tc>
          <w:tcPr>
            <w:tcW w:w="948" w:type="dxa"/>
            <w:tcBorders>
              <w:top w:val="nil"/>
              <w:left w:val="nil"/>
              <w:bottom w:val="single" w:sz="8" w:space="0" w:color="auto"/>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3-Month</w:t>
            </w:r>
          </w:p>
        </w:tc>
        <w:tc>
          <w:tcPr>
            <w:tcW w:w="1012" w:type="dxa"/>
            <w:tcBorders>
              <w:top w:val="nil"/>
              <w:left w:val="nil"/>
              <w:bottom w:val="single" w:sz="8" w:space="0" w:color="auto"/>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6-Month</w:t>
            </w:r>
          </w:p>
        </w:tc>
        <w:tc>
          <w:tcPr>
            <w:tcW w:w="748" w:type="dxa"/>
            <w:tcBorders>
              <w:top w:val="nil"/>
              <w:left w:val="nil"/>
              <w:bottom w:val="single" w:sz="8" w:space="0" w:color="auto"/>
              <w:right w:val="single" w:sz="8" w:space="0" w:color="auto"/>
            </w:tcBorders>
            <w:shd w:val="clear" w:color="000000" w:fill="B4C6E7"/>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1-Year</w:t>
            </w:r>
          </w:p>
        </w:tc>
        <w:tc>
          <w:tcPr>
            <w:tcW w:w="1124" w:type="dxa"/>
            <w:tcBorders>
              <w:left w:val="single" w:sz="8" w:space="0" w:color="auto"/>
              <w:bottom w:val="single" w:sz="8" w:space="0" w:color="000000"/>
              <w:right w:val="single" w:sz="8" w:space="0" w:color="auto"/>
            </w:tcBorders>
            <w:shd w:val="clear" w:color="auto" w:fill="BDD6EE"/>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w:t>
            </w:r>
          </w:p>
        </w:tc>
        <w:tc>
          <w:tcPr>
            <w:tcW w:w="828" w:type="dxa"/>
            <w:tcBorders>
              <w:left w:val="single" w:sz="8" w:space="0" w:color="auto"/>
              <w:bottom w:val="single" w:sz="8" w:space="0" w:color="000000"/>
              <w:right w:val="single" w:sz="8" w:space="0" w:color="auto"/>
            </w:tcBorders>
            <w:shd w:val="clear" w:color="auto" w:fill="BDD6EE"/>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p>
        </w:tc>
      </w:tr>
      <w:tr w:rsidR="00077AF2" w:rsidRPr="005559D2" w:rsidTr="005559D2">
        <w:trPr>
          <w:trHeight w:val="364"/>
        </w:trPr>
        <w:tc>
          <w:tcPr>
            <w:tcW w:w="10325" w:type="dxa"/>
            <w:gridSpan w:val="9"/>
            <w:tcBorders>
              <w:top w:val="single" w:sz="8" w:space="0" w:color="auto"/>
              <w:left w:val="single" w:sz="8" w:space="0" w:color="auto"/>
              <w:bottom w:val="single" w:sz="8" w:space="0" w:color="auto"/>
              <w:right w:val="single" w:sz="8" w:space="0" w:color="000000"/>
            </w:tcBorders>
            <w:shd w:val="clear" w:color="000000" w:fill="D9E1F2"/>
            <w:noWrap/>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BRICS Nations</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Brazil</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BRAZIL IBOVESPA</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104,822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2.9</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-5.5</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-17.3</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-11.9</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18.6</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7.1</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Russia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RUSSIAN TRADED</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2,134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-2.3</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-9.6</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-1.3</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18.4</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29.6</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6.1</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India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Nifty 50</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17,354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2.2</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-1.5</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10.4</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24.1</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16.6</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24.1</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India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S&amp;P BSE SENSEX</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58,254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2.1</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-1.5</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11.0</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22.0</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16.5</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27.9</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China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SHANGHAI COMPOSITE</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3,640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2.1</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2.0</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4.8</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10.7</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12.0</w:t>
            </w:r>
          </w:p>
        </w:tc>
      </w:tr>
      <w:tr w:rsidR="00077AF2" w:rsidRPr="005559D2" w:rsidTr="005559D2">
        <w:trPr>
          <w:trHeight w:val="178"/>
        </w:trPr>
        <w:tc>
          <w:tcPr>
            <w:tcW w:w="1337" w:type="dxa"/>
            <w:tcBorders>
              <w:top w:val="nil"/>
              <w:left w:val="single" w:sz="8" w:space="0" w:color="auto"/>
              <w:bottom w:val="single" w:sz="8" w:space="0" w:color="auto"/>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South Africa</w:t>
            </w:r>
          </w:p>
        </w:tc>
        <w:tc>
          <w:tcPr>
            <w:tcW w:w="2020" w:type="dxa"/>
            <w:tcBorders>
              <w:top w:val="nil"/>
              <w:left w:val="nil"/>
              <w:bottom w:val="single" w:sz="8" w:space="0" w:color="auto"/>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FTSE/JSE AFRICA</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73,709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4.6</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14.7</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11.3</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24.1</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13.7</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9.9</w:t>
            </w:r>
          </w:p>
        </w:tc>
      </w:tr>
      <w:tr w:rsidR="00077AF2" w:rsidRPr="005559D2" w:rsidTr="005559D2">
        <w:trPr>
          <w:trHeight w:val="364"/>
        </w:trPr>
        <w:tc>
          <w:tcPr>
            <w:tcW w:w="10325" w:type="dxa"/>
            <w:gridSpan w:val="9"/>
            <w:tcBorders>
              <w:top w:val="single" w:sz="8" w:space="0" w:color="auto"/>
              <w:left w:val="single" w:sz="8" w:space="0" w:color="auto"/>
              <w:bottom w:val="single" w:sz="8" w:space="0" w:color="auto"/>
              <w:right w:val="single" w:sz="8" w:space="0" w:color="000000"/>
            </w:tcBorders>
            <w:shd w:val="clear" w:color="000000" w:fill="D9E1F2"/>
            <w:vAlign w:val="center"/>
            <w:hideMark/>
          </w:tcPr>
          <w:p w:rsidR="00077AF2" w:rsidRPr="005559D2" w:rsidRDefault="00077AF2" w:rsidP="005559D2">
            <w:pPr>
              <w:spacing w:line="276" w:lineRule="auto"/>
              <w:jc w:val="center"/>
              <w:rPr>
                <w:rFonts w:ascii="Garamond" w:eastAsia="Times New Roman" w:hAnsi="Garamond" w:cs="Calibri"/>
                <w:b/>
                <w:bCs/>
                <w:color w:val="000000"/>
                <w:sz w:val="20"/>
                <w:szCs w:val="20"/>
                <w:lang w:val="en-IN" w:eastAsia="en-IN" w:bidi="hi-IN"/>
              </w:rPr>
            </w:pPr>
            <w:r w:rsidRPr="005559D2">
              <w:rPr>
                <w:rFonts w:ascii="Garamond" w:eastAsia="Times New Roman" w:hAnsi="Garamond" w:cs="Calibri"/>
                <w:b/>
                <w:bCs/>
                <w:color w:val="000000"/>
                <w:sz w:val="20"/>
                <w:szCs w:val="20"/>
                <w:lang w:val="en-IN" w:eastAsia="en-IN" w:bidi="hi-IN"/>
              </w:rPr>
              <w:t>Developed Markets</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USA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NASDAQ COMPOSITE</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15,645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0.7</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8.3</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7.9</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21.4</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22.8</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NA</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USA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DOW JONES INDUS. AVG</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36,338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5.4</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7.4</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5.3</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18.7</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14.8</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20.7</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France</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CAC 40</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7,153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6.4</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9.7</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9.9</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28.9</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16.9</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19.3</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Germany</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DAX</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15,885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5.2</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4.1</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2.3</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15.8</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17.8</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14.9</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UK</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FTSE 100</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7,385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4.6</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4.2</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4.9</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14.3</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12.0</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15.3</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Hong Kong</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HANG SENG</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23,398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-0.3</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-4.8</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-18.8</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-14.1</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16.6</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11.0</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South Korea</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KOSPI</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2,978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4.9</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-3.0</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-9.7</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3.6</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12.8</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NA</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Japan</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NIKKEI 225</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28,792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3.5</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-2.2</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0.0</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4.9</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17.7</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15.5</w:t>
            </w:r>
          </w:p>
        </w:tc>
      </w:tr>
      <w:tr w:rsidR="00077AF2" w:rsidRPr="005559D2" w:rsidTr="005559D2">
        <w:trPr>
          <w:trHeight w:val="170"/>
        </w:trPr>
        <w:tc>
          <w:tcPr>
            <w:tcW w:w="1337" w:type="dxa"/>
            <w:tcBorders>
              <w:top w:val="nil"/>
              <w:left w:val="single" w:sz="8" w:space="0" w:color="auto"/>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Singapore</w:t>
            </w:r>
          </w:p>
        </w:tc>
        <w:tc>
          <w:tcPr>
            <w:tcW w:w="2020" w:type="dxa"/>
            <w:tcBorders>
              <w:top w:val="nil"/>
              <w:left w:val="nil"/>
              <w:bottom w:val="nil"/>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STRAITS TIMES  STI</w:t>
            </w:r>
          </w:p>
        </w:tc>
        <w:tc>
          <w:tcPr>
            <w:tcW w:w="1220" w:type="dxa"/>
            <w:tcBorders>
              <w:top w:val="nil"/>
              <w:left w:val="nil"/>
              <w:bottom w:val="nil"/>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3,124 </w:t>
            </w:r>
          </w:p>
        </w:tc>
        <w:tc>
          <w:tcPr>
            <w:tcW w:w="108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2.7</w:t>
            </w:r>
          </w:p>
        </w:tc>
        <w:tc>
          <w:tcPr>
            <w:tcW w:w="9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1.2</w:t>
            </w:r>
          </w:p>
        </w:tc>
        <w:tc>
          <w:tcPr>
            <w:tcW w:w="1012"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-0.2</w:t>
            </w:r>
          </w:p>
        </w:tc>
        <w:tc>
          <w:tcPr>
            <w:tcW w:w="74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9.8</w:t>
            </w:r>
          </w:p>
        </w:tc>
        <w:tc>
          <w:tcPr>
            <w:tcW w:w="1124"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9.2</w:t>
            </w:r>
          </w:p>
        </w:tc>
        <w:tc>
          <w:tcPr>
            <w:tcW w:w="828" w:type="dxa"/>
            <w:tcBorders>
              <w:top w:val="nil"/>
              <w:left w:val="nil"/>
              <w:bottom w:val="nil"/>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13.7</w:t>
            </w:r>
          </w:p>
        </w:tc>
      </w:tr>
      <w:tr w:rsidR="00077AF2" w:rsidRPr="005559D2" w:rsidTr="005559D2">
        <w:trPr>
          <w:trHeight w:val="178"/>
        </w:trPr>
        <w:tc>
          <w:tcPr>
            <w:tcW w:w="1337" w:type="dxa"/>
            <w:tcBorders>
              <w:top w:val="nil"/>
              <w:left w:val="single" w:sz="8" w:space="0" w:color="auto"/>
              <w:bottom w:val="single" w:sz="8" w:space="0" w:color="auto"/>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Taiwan</w:t>
            </w:r>
          </w:p>
        </w:tc>
        <w:tc>
          <w:tcPr>
            <w:tcW w:w="2020" w:type="dxa"/>
            <w:tcBorders>
              <w:top w:val="nil"/>
              <w:left w:val="nil"/>
              <w:bottom w:val="single" w:sz="8" w:space="0" w:color="auto"/>
              <w:right w:val="single" w:sz="8" w:space="0" w:color="auto"/>
            </w:tcBorders>
            <w:shd w:val="clear" w:color="000000" w:fill="D9E1F2"/>
            <w:noWrap/>
            <w:vAlign w:val="center"/>
            <w:hideMark/>
          </w:tcPr>
          <w:p w:rsidR="00077AF2" w:rsidRPr="005559D2" w:rsidRDefault="00077AF2" w:rsidP="005559D2">
            <w:pPr>
              <w:spacing w:line="276" w:lineRule="auto"/>
              <w:rPr>
                <w:rFonts w:ascii="Garamond" w:eastAsia="Times New Roman" w:hAnsi="Garamond" w:cs="Calibri"/>
                <w:color w:val="000000"/>
                <w:sz w:val="20"/>
                <w:szCs w:val="20"/>
                <w:lang w:val="en-IN" w:eastAsia="en-IN" w:bidi="hi-IN"/>
              </w:rPr>
            </w:pPr>
            <w:r w:rsidRPr="005559D2">
              <w:rPr>
                <w:rFonts w:ascii="Garamond" w:eastAsia="Times New Roman" w:hAnsi="Garamond" w:cs="Calibri"/>
                <w:color w:val="000000"/>
                <w:sz w:val="20"/>
                <w:szCs w:val="20"/>
                <w:lang w:val="en-IN" w:eastAsia="en-IN" w:bidi="hi-IN"/>
              </w:rPr>
              <w:t>TAIWAN TAIEX</w:t>
            </w:r>
          </w:p>
        </w:tc>
        <w:tc>
          <w:tcPr>
            <w:tcW w:w="1220" w:type="dxa"/>
            <w:tcBorders>
              <w:top w:val="nil"/>
              <w:left w:val="nil"/>
              <w:bottom w:val="single" w:sz="8" w:space="0" w:color="auto"/>
              <w:right w:val="single" w:sz="8" w:space="0" w:color="auto"/>
            </w:tcBorders>
            <w:shd w:val="clear" w:color="000000" w:fill="9BC2E6"/>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 xml:space="preserve"> 18,219 </w:t>
            </w:r>
          </w:p>
        </w:tc>
        <w:tc>
          <w:tcPr>
            <w:tcW w:w="1084"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4.5</w:t>
            </w:r>
          </w:p>
        </w:tc>
        <w:tc>
          <w:tcPr>
            <w:tcW w:w="948"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7.6</w:t>
            </w:r>
          </w:p>
        </w:tc>
        <w:tc>
          <w:tcPr>
            <w:tcW w:w="1012"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2.6</w:t>
            </w:r>
          </w:p>
        </w:tc>
        <w:tc>
          <w:tcPr>
            <w:tcW w:w="748"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23.7</w:t>
            </w:r>
          </w:p>
        </w:tc>
        <w:tc>
          <w:tcPr>
            <w:tcW w:w="1124"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7.9</w:t>
            </w:r>
          </w:p>
        </w:tc>
        <w:tc>
          <w:tcPr>
            <w:tcW w:w="828" w:type="dxa"/>
            <w:tcBorders>
              <w:top w:val="nil"/>
              <w:left w:val="nil"/>
              <w:bottom w:val="single" w:sz="8" w:space="0" w:color="auto"/>
              <w:right w:val="single" w:sz="8" w:space="0" w:color="auto"/>
            </w:tcBorders>
            <w:shd w:val="clear" w:color="auto" w:fill="auto"/>
            <w:noWrap/>
            <w:hideMark/>
          </w:tcPr>
          <w:p w:rsidR="00077AF2" w:rsidRPr="005559D2" w:rsidRDefault="00077AF2" w:rsidP="005559D2">
            <w:pPr>
              <w:spacing w:line="276" w:lineRule="auto"/>
              <w:jc w:val="right"/>
              <w:rPr>
                <w:rFonts w:ascii="Garamond" w:hAnsi="Garamond"/>
                <w:sz w:val="20"/>
                <w:szCs w:val="20"/>
              </w:rPr>
            </w:pPr>
            <w:r w:rsidRPr="005559D2">
              <w:rPr>
                <w:rFonts w:ascii="Garamond" w:hAnsi="Garamond"/>
                <w:sz w:val="20"/>
                <w:szCs w:val="20"/>
              </w:rPr>
              <w:t>13.3</w:t>
            </w:r>
          </w:p>
        </w:tc>
      </w:tr>
    </w:tbl>
    <w:p w:rsidR="00077AF2" w:rsidRPr="005559D2" w:rsidRDefault="00077AF2" w:rsidP="005559D2">
      <w:pPr>
        <w:spacing w:line="276" w:lineRule="auto"/>
        <w:jc w:val="both"/>
        <w:rPr>
          <w:rFonts w:ascii="Garamond" w:hAnsi="Garamond"/>
          <w:bCs/>
        </w:rPr>
      </w:pPr>
    </w:p>
    <w:p w:rsidR="00077AF2" w:rsidRPr="005559D2" w:rsidRDefault="00077AF2" w:rsidP="005559D2">
      <w:pPr>
        <w:spacing w:line="276" w:lineRule="auto"/>
        <w:jc w:val="both"/>
        <w:rPr>
          <w:rFonts w:ascii="Garamond" w:hAnsi="Garamond"/>
          <w:bCs/>
          <w:i/>
          <w:iCs/>
          <w:sz w:val="20"/>
          <w:szCs w:val="20"/>
        </w:rPr>
      </w:pPr>
      <w:r w:rsidRPr="005559D2">
        <w:rPr>
          <w:rFonts w:ascii="Garamond" w:hAnsi="Garamond"/>
          <w:bCs/>
          <w:i/>
          <w:iCs/>
          <w:sz w:val="20"/>
          <w:szCs w:val="20"/>
        </w:rPr>
        <w:t xml:space="preserve">Note: P/E Ratios are as on the last trading day of month. </w:t>
      </w:r>
    </w:p>
    <w:p w:rsidR="00077AF2" w:rsidRPr="005559D2" w:rsidRDefault="00077AF2" w:rsidP="005559D2">
      <w:pPr>
        <w:spacing w:line="276" w:lineRule="auto"/>
        <w:jc w:val="both"/>
        <w:rPr>
          <w:rFonts w:ascii="Garamond" w:hAnsi="Garamond"/>
          <w:bCs/>
          <w:i/>
          <w:iCs/>
          <w:sz w:val="20"/>
          <w:szCs w:val="20"/>
        </w:rPr>
      </w:pPr>
      <w:r w:rsidRPr="005559D2">
        <w:rPr>
          <w:rFonts w:ascii="Garamond" w:hAnsi="Garamond"/>
          <w:bCs/>
          <w:i/>
          <w:iCs/>
          <w:sz w:val="20"/>
          <w:szCs w:val="20"/>
        </w:rPr>
        <w:t>NA: Not Available</w:t>
      </w:r>
    </w:p>
    <w:p w:rsidR="00077AF2" w:rsidRPr="005559D2" w:rsidRDefault="00077AF2" w:rsidP="005559D2">
      <w:pPr>
        <w:spacing w:line="276" w:lineRule="auto"/>
        <w:jc w:val="both"/>
        <w:rPr>
          <w:rFonts w:ascii="Garamond" w:hAnsi="Garamond"/>
          <w:bCs/>
          <w:i/>
          <w:iCs/>
          <w:sz w:val="20"/>
          <w:szCs w:val="20"/>
        </w:rPr>
      </w:pPr>
      <w:r w:rsidRPr="005559D2">
        <w:rPr>
          <w:rFonts w:ascii="Garamond" w:hAnsi="Garamond"/>
          <w:bCs/>
          <w:i/>
          <w:iCs/>
          <w:sz w:val="20"/>
          <w:szCs w:val="20"/>
        </w:rPr>
        <w:t>Data for Sensex and Nifty was taken from respective exchange website</w:t>
      </w:r>
      <w:r w:rsidRPr="005559D2">
        <w:rPr>
          <w:rFonts w:ascii="Garamond" w:hAnsi="Garamond"/>
          <w:bCs/>
          <w:i/>
          <w:iCs/>
          <w:sz w:val="20"/>
          <w:szCs w:val="20"/>
          <w:lang w:val="en-US"/>
        </w:rPr>
        <w:t>.</w:t>
      </w:r>
    </w:p>
    <w:p w:rsidR="00077AF2" w:rsidRPr="005559D2" w:rsidRDefault="00077AF2" w:rsidP="005559D2">
      <w:pPr>
        <w:spacing w:line="276" w:lineRule="auto"/>
        <w:jc w:val="both"/>
        <w:rPr>
          <w:rFonts w:ascii="Garamond" w:hAnsi="Garamond"/>
          <w:bCs/>
          <w:i/>
          <w:iCs/>
          <w:sz w:val="20"/>
          <w:szCs w:val="20"/>
        </w:rPr>
      </w:pPr>
      <w:r w:rsidRPr="005559D2">
        <w:rPr>
          <w:rFonts w:ascii="Garamond" w:hAnsi="Garamond"/>
          <w:bCs/>
          <w:i/>
          <w:iCs/>
          <w:sz w:val="20"/>
          <w:szCs w:val="20"/>
        </w:rPr>
        <w:t xml:space="preserve">Source: Refinitiv, BSE and NSE </w:t>
      </w:r>
    </w:p>
    <w:p w:rsidR="00077AF2" w:rsidRPr="005559D2" w:rsidRDefault="00077AF2" w:rsidP="005559D2">
      <w:pPr>
        <w:spacing w:line="276" w:lineRule="auto"/>
        <w:rPr>
          <w:rFonts w:ascii="Garamond" w:hAnsi="Garamond"/>
          <w:b/>
          <w:bCs/>
        </w:rPr>
      </w:pPr>
    </w:p>
    <w:p w:rsidR="00077AF2" w:rsidRDefault="00077AF2" w:rsidP="009E65D5">
      <w:pPr>
        <w:spacing w:line="276" w:lineRule="auto"/>
        <w:jc w:val="center"/>
        <w:rPr>
          <w:rFonts w:ascii="Garamond" w:hAnsi="Garamond"/>
          <w:b/>
          <w:bCs/>
        </w:rPr>
      </w:pPr>
      <w:r w:rsidRPr="005559D2">
        <w:rPr>
          <w:rFonts w:ascii="Garamond" w:hAnsi="Garamond"/>
          <w:b/>
          <w:bCs/>
        </w:rPr>
        <w:br w:type="page"/>
      </w:r>
      <w:r w:rsidRPr="005559D2">
        <w:rPr>
          <w:rFonts w:ascii="Garamond" w:hAnsi="Garamond"/>
          <w:b/>
          <w:bCs/>
        </w:rPr>
        <w:lastRenderedPageBreak/>
        <w:t>Figure 1: Stock Market Trends in Selected Markets</w:t>
      </w:r>
    </w:p>
    <w:p w:rsidR="00577440" w:rsidRDefault="00577440" w:rsidP="009E65D5">
      <w:pPr>
        <w:spacing w:line="276" w:lineRule="auto"/>
        <w:jc w:val="center"/>
        <w:rPr>
          <w:rFonts w:ascii="Garamond" w:hAnsi="Garamond"/>
          <w:b/>
          <w:bCs/>
        </w:rPr>
      </w:pPr>
      <w:r w:rsidRPr="008F6BC9">
        <w:rPr>
          <w:noProof/>
        </w:rPr>
        <w:object w:dxaOrig="8746" w:dyaOrig="4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37.5pt;height:219.5pt;visibility:visible" o:ole="">
            <v:imagedata r:id="rId33" o:title=""/>
            <o:lock v:ext="edit" aspectratio="f"/>
          </v:shape>
          <o:OLEObject Type="Embed" ProgID="Excel.Sheet.8" ShapeID="Chart 1" DrawAspect="Content" ObjectID="_1704784921" r:id="rId34">
            <o:FieldCodes>\s</o:FieldCodes>
          </o:OLEObject>
        </w:object>
      </w:r>
    </w:p>
    <w:p w:rsidR="00077AF2" w:rsidRPr="009E65D5" w:rsidRDefault="0090349F" w:rsidP="009E65D5">
      <w:pPr>
        <w:spacing w:line="276" w:lineRule="auto"/>
        <w:ind w:left="720"/>
        <w:jc w:val="both"/>
        <w:outlineLvl w:val="0"/>
        <w:rPr>
          <w:rFonts w:ascii="Garamond" w:hAnsi="Garamond"/>
          <w:bCs/>
          <w:i/>
          <w:iCs/>
          <w:sz w:val="22"/>
          <w:szCs w:val="22"/>
        </w:rPr>
      </w:pPr>
      <w:r w:rsidRPr="009E65D5">
        <w:rPr>
          <w:rFonts w:ascii="Garamond" w:hAnsi="Garamond"/>
          <w:b/>
          <w:i/>
          <w:iCs/>
          <w:sz w:val="22"/>
          <w:szCs w:val="22"/>
        </w:rPr>
        <w:t>N</w:t>
      </w:r>
      <w:r w:rsidR="00077AF2" w:rsidRPr="009E65D5">
        <w:rPr>
          <w:rFonts w:ascii="Garamond" w:hAnsi="Garamond"/>
          <w:b/>
          <w:i/>
          <w:iCs/>
          <w:sz w:val="22"/>
          <w:szCs w:val="22"/>
        </w:rPr>
        <w:t>ote</w:t>
      </w:r>
      <w:r w:rsidR="00077AF2" w:rsidRPr="009E65D5">
        <w:rPr>
          <w:rFonts w:ascii="Garamond" w:hAnsi="Garamond"/>
          <w:bCs/>
          <w:i/>
          <w:iCs/>
          <w:sz w:val="22"/>
          <w:szCs w:val="22"/>
        </w:rPr>
        <w:t xml:space="preserve">: All indices have been normalised to 100 on </w:t>
      </w:r>
      <w:r w:rsidR="00077AF2" w:rsidRPr="009E65D5">
        <w:rPr>
          <w:rFonts w:ascii="Garamond" w:eastAsia="Times New Roman" w:hAnsi="Garamond"/>
          <w:bCs/>
          <w:i/>
          <w:iCs/>
          <w:sz w:val="22"/>
          <w:szCs w:val="22"/>
        </w:rPr>
        <w:t>31 Dec 2020</w:t>
      </w:r>
      <w:r w:rsidR="00077AF2" w:rsidRPr="009E65D5">
        <w:rPr>
          <w:rFonts w:ascii="Garamond" w:hAnsi="Garamond"/>
          <w:bCs/>
          <w:i/>
          <w:iCs/>
          <w:sz w:val="22"/>
          <w:szCs w:val="22"/>
        </w:rPr>
        <w:t>.</w:t>
      </w:r>
      <w:r w:rsidR="009E65D5">
        <w:rPr>
          <w:rFonts w:ascii="Garamond" w:hAnsi="Garamond"/>
          <w:bCs/>
          <w:i/>
          <w:iCs/>
          <w:sz w:val="22"/>
          <w:szCs w:val="22"/>
        </w:rPr>
        <w:t xml:space="preserve"> </w:t>
      </w:r>
      <w:r w:rsidR="00077AF2" w:rsidRPr="009E65D5">
        <w:rPr>
          <w:rFonts w:ascii="Garamond" w:hAnsi="Garamond"/>
          <w:b/>
          <w:i/>
          <w:iCs/>
          <w:sz w:val="22"/>
          <w:szCs w:val="22"/>
        </w:rPr>
        <w:t>Source</w:t>
      </w:r>
      <w:r w:rsidR="00077AF2" w:rsidRPr="009E65D5">
        <w:rPr>
          <w:rFonts w:ascii="Garamond" w:hAnsi="Garamond"/>
          <w:bCs/>
          <w:i/>
          <w:iCs/>
          <w:sz w:val="22"/>
          <w:szCs w:val="22"/>
        </w:rPr>
        <w:t>: Refinitiv</w:t>
      </w:r>
    </w:p>
    <w:p w:rsidR="00077AF2" w:rsidRPr="005559D2" w:rsidRDefault="00077AF2" w:rsidP="005559D2">
      <w:pPr>
        <w:spacing w:line="276" w:lineRule="auto"/>
        <w:rPr>
          <w:rFonts w:ascii="Garamond" w:hAnsi="Garamond"/>
        </w:rPr>
      </w:pPr>
    </w:p>
    <w:p w:rsidR="00077AF2" w:rsidRPr="005559D2" w:rsidRDefault="00077AF2" w:rsidP="005559D2">
      <w:pPr>
        <w:spacing w:line="276" w:lineRule="auto"/>
        <w:rPr>
          <w:rFonts w:ascii="Garamond" w:hAnsi="Garamond"/>
          <w:bCs/>
        </w:rPr>
      </w:pPr>
    </w:p>
    <w:p w:rsidR="00077AF2" w:rsidRPr="005559D2" w:rsidRDefault="00077AF2" w:rsidP="005559D2">
      <w:pPr>
        <w:spacing w:line="276" w:lineRule="auto"/>
        <w:ind w:left="720"/>
        <w:contextualSpacing/>
        <w:rPr>
          <w:rFonts w:ascii="Garamond" w:eastAsia="Times New Roman" w:hAnsi="Garamond"/>
          <w:b/>
          <w:u w:val="single"/>
          <w:lang w:val="en-US" w:eastAsia="en-GB"/>
        </w:rPr>
      </w:pPr>
      <w:r w:rsidRPr="005559D2">
        <w:rPr>
          <w:rFonts w:ascii="Garamond" w:eastAsia="Times New Roman" w:hAnsi="Garamond"/>
          <w:b/>
          <w:u w:val="single"/>
          <w:lang w:val="en-US" w:eastAsia="en-GB"/>
        </w:rPr>
        <w:t>Bond Market</w:t>
      </w:r>
    </w:p>
    <w:p w:rsidR="00077AF2" w:rsidRPr="005559D2" w:rsidRDefault="00077AF2" w:rsidP="005559D2">
      <w:pPr>
        <w:spacing w:line="276" w:lineRule="auto"/>
        <w:ind w:left="720"/>
        <w:contextualSpacing/>
        <w:rPr>
          <w:rFonts w:ascii="Garamond" w:hAnsi="Garamond"/>
          <w:bCs/>
          <w:lang w:val="en-US"/>
        </w:rPr>
      </w:pPr>
    </w:p>
    <w:p w:rsidR="00077AF2" w:rsidRPr="005559D2" w:rsidRDefault="00077AF2" w:rsidP="005559D2">
      <w:pPr>
        <w:numPr>
          <w:ilvl w:val="0"/>
          <w:numId w:val="10"/>
        </w:numPr>
        <w:spacing w:line="276" w:lineRule="auto"/>
        <w:contextualSpacing/>
        <w:jc w:val="both"/>
        <w:rPr>
          <w:rFonts w:ascii="Garamond" w:eastAsia="Times New Roman" w:hAnsi="Garamond"/>
          <w:bCs/>
          <w:color w:val="000000"/>
          <w:lang w:val="en-US" w:eastAsia="en-GB"/>
        </w:rPr>
      </w:pPr>
      <w:r w:rsidRPr="005559D2">
        <w:rPr>
          <w:rFonts w:ascii="Garamond" w:eastAsia="Times New Roman" w:hAnsi="Garamond"/>
          <w:bCs/>
          <w:color w:val="000000"/>
          <w:lang w:val="en-US" w:eastAsia="en-GB"/>
        </w:rPr>
        <w:t xml:space="preserve">Among BRIC Nations, 10-year government bond yield of Brazil declined further to 10.3 per cent, as at end of </w:t>
      </w:r>
      <w:r w:rsidRPr="005559D2">
        <w:rPr>
          <w:rFonts w:ascii="Garamond" w:eastAsia="Times New Roman" w:hAnsi="Garamond"/>
          <w:bCs/>
          <w:lang w:val="en-US" w:eastAsia="en-GB"/>
        </w:rPr>
        <w:t xml:space="preserve">December </w:t>
      </w:r>
      <w:r w:rsidRPr="005559D2">
        <w:rPr>
          <w:rFonts w:ascii="Garamond" w:eastAsia="Times New Roman" w:hAnsi="Garamond"/>
          <w:bCs/>
          <w:color w:val="000000"/>
          <w:lang w:val="en-US" w:eastAsia="en-GB"/>
        </w:rPr>
        <w:t>2021 from 11.4 per cent in previous month (9.6 per cent decline). Brazil had witnessed its 10-year G-sec yield growing as high as 12.2 per cent at the end of October 2021.</w:t>
      </w:r>
    </w:p>
    <w:p w:rsidR="00077AF2" w:rsidRPr="005559D2" w:rsidRDefault="00077AF2" w:rsidP="005559D2">
      <w:pPr>
        <w:numPr>
          <w:ilvl w:val="0"/>
          <w:numId w:val="10"/>
        </w:numPr>
        <w:spacing w:line="276" w:lineRule="auto"/>
        <w:contextualSpacing/>
        <w:jc w:val="both"/>
        <w:rPr>
          <w:rFonts w:ascii="Garamond" w:eastAsia="Times New Roman" w:hAnsi="Garamond"/>
          <w:bCs/>
          <w:color w:val="000000"/>
          <w:lang w:val="en-US" w:eastAsia="en-GB"/>
        </w:rPr>
      </w:pPr>
      <w:r w:rsidRPr="005559D2">
        <w:rPr>
          <w:rFonts w:ascii="Garamond" w:eastAsia="Times New Roman" w:hAnsi="Garamond"/>
          <w:bCs/>
          <w:color w:val="000000"/>
          <w:lang w:val="en-US" w:eastAsia="en-GB"/>
        </w:rPr>
        <w:t xml:space="preserve">Indian 10-year government bond yield increased to 6.5 per cent in </w:t>
      </w:r>
      <w:r w:rsidRPr="005559D2">
        <w:rPr>
          <w:rFonts w:ascii="Garamond" w:eastAsia="Times New Roman" w:hAnsi="Garamond"/>
          <w:bCs/>
          <w:lang w:val="en-US" w:eastAsia="en-GB"/>
        </w:rPr>
        <w:t xml:space="preserve">December </w:t>
      </w:r>
      <w:r w:rsidRPr="005559D2">
        <w:rPr>
          <w:rFonts w:ascii="Garamond" w:eastAsia="Times New Roman" w:hAnsi="Garamond"/>
          <w:bCs/>
          <w:color w:val="000000"/>
          <w:lang w:val="en-US" w:eastAsia="en-GB"/>
        </w:rPr>
        <w:t>2021, from 6.3 per cent in previous month.</w:t>
      </w:r>
    </w:p>
    <w:p w:rsidR="00077AF2" w:rsidRPr="005559D2" w:rsidRDefault="00077AF2" w:rsidP="005559D2">
      <w:pPr>
        <w:numPr>
          <w:ilvl w:val="0"/>
          <w:numId w:val="10"/>
        </w:numPr>
        <w:spacing w:line="276" w:lineRule="auto"/>
        <w:contextualSpacing/>
        <w:jc w:val="both"/>
        <w:rPr>
          <w:rFonts w:ascii="Garamond" w:hAnsi="Garamond"/>
          <w:bCs/>
        </w:rPr>
      </w:pPr>
      <w:r w:rsidRPr="005559D2">
        <w:rPr>
          <w:rFonts w:ascii="Garamond" w:eastAsia="Times New Roman" w:hAnsi="Garamond"/>
          <w:bCs/>
          <w:color w:val="000000"/>
          <w:lang w:val="en-US" w:eastAsia="en-GB"/>
        </w:rPr>
        <w:t>Among select developed countries</w:t>
      </w:r>
      <w:r w:rsidRPr="005559D2">
        <w:rPr>
          <w:rStyle w:val="FootnoteReference"/>
          <w:rFonts w:ascii="Garamond" w:eastAsia="Times New Roman" w:hAnsi="Garamond"/>
          <w:bCs/>
          <w:color w:val="000000"/>
          <w:lang w:val="en-US" w:eastAsia="en-GB"/>
        </w:rPr>
        <w:footnoteReference w:id="8"/>
      </w:r>
      <w:r w:rsidRPr="005559D2">
        <w:rPr>
          <w:rFonts w:ascii="Garamond" w:eastAsia="Times New Roman" w:hAnsi="Garamond"/>
          <w:bCs/>
          <w:color w:val="000000"/>
          <w:lang w:val="en-US" w:eastAsia="en-GB"/>
        </w:rPr>
        <w:t xml:space="preserve">, 10-year government bond yield in U.S. was broadly unchanged at 1.5 per cent as at end of </w:t>
      </w:r>
      <w:r w:rsidRPr="005559D2">
        <w:rPr>
          <w:rFonts w:ascii="Garamond" w:eastAsia="Times New Roman" w:hAnsi="Garamond"/>
          <w:bCs/>
          <w:lang w:val="en-US" w:eastAsia="en-GB"/>
        </w:rPr>
        <w:t xml:space="preserve">December </w:t>
      </w:r>
      <w:r w:rsidRPr="005559D2">
        <w:rPr>
          <w:rFonts w:ascii="Garamond" w:eastAsia="Times New Roman" w:hAnsi="Garamond"/>
          <w:bCs/>
          <w:color w:val="000000"/>
          <w:lang w:val="en-US" w:eastAsia="en-GB"/>
        </w:rPr>
        <w:t>2021, while Germany reported negative yield of 0.2 per cent as compared to -0.3 per cent in November 2021.</w:t>
      </w:r>
    </w:p>
    <w:p w:rsidR="00077AF2" w:rsidRPr="005559D2" w:rsidRDefault="00077AF2" w:rsidP="005559D2">
      <w:pPr>
        <w:spacing w:line="276" w:lineRule="auto"/>
        <w:contextualSpacing/>
        <w:jc w:val="both"/>
        <w:rPr>
          <w:rFonts w:ascii="Garamond" w:hAnsi="Garamond"/>
          <w:bCs/>
        </w:rPr>
      </w:pPr>
    </w:p>
    <w:p w:rsidR="00077AF2" w:rsidRPr="005559D2" w:rsidRDefault="00077AF2" w:rsidP="009E65D5">
      <w:pPr>
        <w:spacing w:line="276" w:lineRule="auto"/>
        <w:jc w:val="center"/>
        <w:rPr>
          <w:rFonts w:ascii="Garamond" w:hAnsi="Garamond"/>
          <w:b/>
          <w:bCs/>
        </w:rPr>
      </w:pPr>
      <w:r w:rsidRPr="005559D2">
        <w:rPr>
          <w:rFonts w:ascii="Garamond" w:hAnsi="Garamond"/>
          <w:b/>
          <w:bCs/>
        </w:rPr>
        <w:t>Table 2: 10-year Government Bond Yields</w:t>
      </w:r>
    </w:p>
    <w:tbl>
      <w:tblPr>
        <w:tblW w:w="6683" w:type="dxa"/>
        <w:jc w:val="center"/>
        <w:tblLook w:val="04A0" w:firstRow="1" w:lastRow="0" w:firstColumn="1" w:lastColumn="0" w:noHBand="0" w:noVBand="1"/>
      </w:tblPr>
      <w:tblGrid>
        <w:gridCol w:w="1083"/>
        <w:gridCol w:w="1323"/>
        <w:gridCol w:w="1377"/>
        <w:gridCol w:w="962"/>
        <w:gridCol w:w="962"/>
        <w:gridCol w:w="965"/>
        <w:gridCol w:w="11"/>
      </w:tblGrid>
      <w:tr w:rsidR="00077AF2" w:rsidRPr="00FE64D7" w:rsidTr="009E65D5">
        <w:trPr>
          <w:gridAfter w:val="1"/>
          <w:wAfter w:w="11" w:type="dxa"/>
          <w:trHeight w:val="265"/>
          <w:jc w:val="center"/>
        </w:trPr>
        <w:tc>
          <w:tcPr>
            <w:tcW w:w="1083"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Country</w:t>
            </w:r>
          </w:p>
        </w:tc>
        <w:tc>
          <w:tcPr>
            <w:tcW w:w="1323" w:type="dxa"/>
            <w:tcBorders>
              <w:top w:val="single" w:sz="8" w:space="0" w:color="auto"/>
              <w:left w:val="nil"/>
              <w:bottom w:val="nil"/>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Yield as on</w:t>
            </w:r>
          </w:p>
        </w:tc>
        <w:tc>
          <w:tcPr>
            <w:tcW w:w="4266" w:type="dxa"/>
            <w:gridSpan w:val="4"/>
            <w:tcBorders>
              <w:top w:val="single" w:sz="8" w:space="0" w:color="auto"/>
              <w:left w:val="nil"/>
              <w:bottom w:val="single" w:sz="8" w:space="0" w:color="auto"/>
              <w:right w:val="single" w:sz="8" w:space="0" w:color="000000"/>
            </w:tcBorders>
            <w:shd w:val="clear" w:color="000000" w:fill="B4C6E7"/>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Bond Yield in previous period</w:t>
            </w:r>
          </w:p>
        </w:tc>
      </w:tr>
      <w:tr w:rsidR="00077AF2" w:rsidRPr="00FE64D7" w:rsidTr="009E65D5">
        <w:trPr>
          <w:gridAfter w:val="1"/>
          <w:wAfter w:w="11" w:type="dxa"/>
          <w:trHeight w:val="265"/>
          <w:jc w:val="center"/>
        </w:trPr>
        <w:tc>
          <w:tcPr>
            <w:tcW w:w="1083" w:type="dxa"/>
            <w:vMerge/>
            <w:tcBorders>
              <w:top w:val="single" w:sz="8" w:space="0" w:color="auto"/>
              <w:left w:val="single" w:sz="8" w:space="0" w:color="auto"/>
              <w:bottom w:val="single" w:sz="8" w:space="0" w:color="000000"/>
              <w:right w:val="single" w:sz="8" w:space="0" w:color="auto"/>
            </w:tcBorders>
            <w:vAlign w:val="center"/>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p>
        </w:tc>
        <w:tc>
          <w:tcPr>
            <w:tcW w:w="1323" w:type="dxa"/>
            <w:tcBorders>
              <w:top w:val="nil"/>
              <w:left w:val="nil"/>
              <w:bottom w:val="single" w:sz="8" w:space="0" w:color="auto"/>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31-Dec-21</w:t>
            </w:r>
          </w:p>
        </w:tc>
        <w:tc>
          <w:tcPr>
            <w:tcW w:w="1377" w:type="dxa"/>
            <w:tcBorders>
              <w:top w:val="nil"/>
              <w:left w:val="nil"/>
              <w:bottom w:val="single" w:sz="8" w:space="0" w:color="auto"/>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1-Month</w:t>
            </w:r>
          </w:p>
        </w:tc>
        <w:tc>
          <w:tcPr>
            <w:tcW w:w="962" w:type="dxa"/>
            <w:tcBorders>
              <w:top w:val="nil"/>
              <w:left w:val="nil"/>
              <w:bottom w:val="single" w:sz="8" w:space="0" w:color="auto"/>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3-Month</w:t>
            </w:r>
          </w:p>
        </w:tc>
        <w:tc>
          <w:tcPr>
            <w:tcW w:w="962" w:type="dxa"/>
            <w:tcBorders>
              <w:top w:val="nil"/>
              <w:left w:val="nil"/>
              <w:bottom w:val="single" w:sz="8" w:space="0" w:color="auto"/>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6-Month</w:t>
            </w:r>
          </w:p>
        </w:tc>
        <w:tc>
          <w:tcPr>
            <w:tcW w:w="965" w:type="dxa"/>
            <w:tcBorders>
              <w:top w:val="nil"/>
              <w:left w:val="nil"/>
              <w:bottom w:val="single" w:sz="8" w:space="0" w:color="auto"/>
              <w:right w:val="single" w:sz="8" w:space="0" w:color="auto"/>
            </w:tcBorders>
            <w:shd w:val="clear" w:color="000000" w:fill="B4C6E7"/>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1-Year</w:t>
            </w:r>
          </w:p>
        </w:tc>
      </w:tr>
      <w:tr w:rsidR="00077AF2" w:rsidRPr="00FE64D7" w:rsidTr="009E65D5">
        <w:trPr>
          <w:trHeight w:val="265"/>
          <w:jc w:val="center"/>
        </w:trPr>
        <w:tc>
          <w:tcPr>
            <w:tcW w:w="6683" w:type="dxa"/>
            <w:gridSpan w:val="7"/>
            <w:tcBorders>
              <w:top w:val="single" w:sz="8" w:space="0" w:color="auto"/>
              <w:left w:val="single" w:sz="8" w:space="0" w:color="auto"/>
              <w:bottom w:val="single" w:sz="8" w:space="0" w:color="auto"/>
              <w:right w:val="single" w:sz="8" w:space="0" w:color="000000"/>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BRIC Nations</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Brazil</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lang w:val="en-IN" w:eastAsia="en-IN" w:bidi="hi-IN"/>
              </w:rPr>
            </w:pPr>
            <w:r w:rsidRPr="00FE64D7">
              <w:rPr>
                <w:rFonts w:ascii="Garamond" w:hAnsi="Garamond" w:cs="Calibri"/>
                <w:b/>
                <w:bCs/>
                <w:sz w:val="20"/>
                <w:szCs w:val="20"/>
              </w:rPr>
              <w:t>10.3</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11.4</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11.2</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9.1</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7.0</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Russia</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8.4</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8.4</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7.3</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7.2</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5.9</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India</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6.5</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6.3</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6.2</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6.1</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5.9</w:t>
            </w:r>
          </w:p>
        </w:tc>
      </w:tr>
      <w:tr w:rsidR="00077AF2" w:rsidRPr="00FE64D7" w:rsidTr="009E65D5">
        <w:trPr>
          <w:gridAfter w:val="1"/>
          <w:wAfter w:w="11" w:type="dxa"/>
          <w:trHeight w:val="265"/>
          <w:jc w:val="center"/>
        </w:trPr>
        <w:tc>
          <w:tcPr>
            <w:tcW w:w="1083" w:type="dxa"/>
            <w:tcBorders>
              <w:top w:val="nil"/>
              <w:left w:val="single" w:sz="8" w:space="0" w:color="auto"/>
              <w:bottom w:val="single" w:sz="8" w:space="0" w:color="auto"/>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China</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2.8</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2.9</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2.9</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3.1</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3.2</w:t>
            </w:r>
          </w:p>
        </w:tc>
      </w:tr>
      <w:tr w:rsidR="00077AF2" w:rsidRPr="00FE64D7" w:rsidTr="009E65D5">
        <w:trPr>
          <w:trHeight w:val="265"/>
          <w:jc w:val="center"/>
        </w:trPr>
        <w:tc>
          <w:tcPr>
            <w:tcW w:w="6683" w:type="dxa"/>
            <w:gridSpan w:val="7"/>
            <w:tcBorders>
              <w:top w:val="single" w:sz="8" w:space="0" w:color="auto"/>
              <w:left w:val="single" w:sz="8" w:space="0" w:color="auto"/>
              <w:bottom w:val="single" w:sz="8" w:space="0" w:color="auto"/>
              <w:right w:val="single" w:sz="8" w:space="0" w:color="000000"/>
            </w:tcBorders>
            <w:shd w:val="clear" w:color="000000" w:fill="D9E1F2"/>
            <w:hideMark/>
          </w:tcPr>
          <w:p w:rsidR="00077AF2" w:rsidRPr="00FE64D7" w:rsidRDefault="00077AF2" w:rsidP="009E65D5">
            <w:pPr>
              <w:spacing w:line="276" w:lineRule="auto"/>
              <w:jc w:val="center"/>
              <w:rPr>
                <w:rFonts w:ascii="Garamond" w:eastAsia="Times New Roman" w:hAnsi="Garamond" w:cs="Calibri"/>
                <w:b/>
                <w:bCs/>
                <w:color w:val="000000"/>
                <w:sz w:val="20"/>
                <w:szCs w:val="20"/>
                <w:lang w:val="en-IN" w:eastAsia="en-IN" w:bidi="hi-IN"/>
              </w:rPr>
            </w:pPr>
            <w:r w:rsidRPr="00FE64D7">
              <w:rPr>
                <w:rFonts w:ascii="Garamond" w:eastAsia="Times New Roman" w:hAnsi="Garamond" w:cs="Calibri"/>
                <w:b/>
                <w:bCs/>
                <w:color w:val="000000"/>
                <w:sz w:val="20"/>
                <w:szCs w:val="20"/>
                <w:lang w:val="en-IN" w:eastAsia="en-IN" w:bidi="hi-IN"/>
              </w:rPr>
              <w:t>Developed Markets</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USA</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lang w:val="en-IN" w:eastAsia="en-IN" w:bidi="hi-IN"/>
              </w:rPr>
            </w:pPr>
            <w:r w:rsidRPr="00FE64D7">
              <w:rPr>
                <w:rFonts w:ascii="Garamond" w:hAnsi="Garamond" w:cs="Calibri"/>
                <w:b/>
                <w:bCs/>
                <w:sz w:val="20"/>
                <w:szCs w:val="20"/>
              </w:rPr>
              <w:t>1.5</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1.5</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1.5</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1.5</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0.9</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UK</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1.0</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0.8</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1.0</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0.7</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0.2</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Germany</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-0.2</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-0.3</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-0.2</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-0.2</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-0.6</w:t>
            </w:r>
          </w:p>
        </w:tc>
      </w:tr>
      <w:tr w:rsidR="00077AF2" w:rsidRPr="00FE64D7" w:rsidTr="009E65D5">
        <w:trPr>
          <w:gridAfter w:val="1"/>
          <w:wAfter w:w="11" w:type="dxa"/>
          <w:trHeight w:val="252"/>
          <w:jc w:val="center"/>
        </w:trPr>
        <w:tc>
          <w:tcPr>
            <w:tcW w:w="1083" w:type="dxa"/>
            <w:tcBorders>
              <w:top w:val="nil"/>
              <w:left w:val="single" w:sz="8" w:space="0" w:color="auto"/>
              <w:bottom w:val="nil"/>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Spain</w:t>
            </w:r>
          </w:p>
        </w:tc>
        <w:tc>
          <w:tcPr>
            <w:tcW w:w="1323" w:type="dxa"/>
            <w:tcBorders>
              <w:top w:val="nil"/>
              <w:left w:val="nil"/>
              <w:bottom w:val="nil"/>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0.6</w:t>
            </w:r>
          </w:p>
        </w:tc>
        <w:tc>
          <w:tcPr>
            <w:tcW w:w="1377"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0.4</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0.5</w:t>
            </w:r>
          </w:p>
        </w:tc>
        <w:tc>
          <w:tcPr>
            <w:tcW w:w="962"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0.4</w:t>
            </w:r>
          </w:p>
        </w:tc>
        <w:tc>
          <w:tcPr>
            <w:tcW w:w="965" w:type="dxa"/>
            <w:tcBorders>
              <w:top w:val="nil"/>
              <w:left w:val="nil"/>
              <w:bottom w:val="nil"/>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0.1</w:t>
            </w:r>
          </w:p>
        </w:tc>
      </w:tr>
      <w:tr w:rsidR="00077AF2" w:rsidRPr="00FE64D7" w:rsidTr="009E65D5">
        <w:trPr>
          <w:gridAfter w:val="1"/>
          <w:wAfter w:w="11" w:type="dxa"/>
          <w:trHeight w:val="265"/>
          <w:jc w:val="center"/>
        </w:trPr>
        <w:tc>
          <w:tcPr>
            <w:tcW w:w="1083" w:type="dxa"/>
            <w:tcBorders>
              <w:top w:val="nil"/>
              <w:left w:val="single" w:sz="8" w:space="0" w:color="auto"/>
              <w:bottom w:val="single" w:sz="8" w:space="0" w:color="auto"/>
              <w:right w:val="single" w:sz="8" w:space="0" w:color="auto"/>
            </w:tcBorders>
            <w:shd w:val="clear" w:color="000000" w:fill="D9E1F2"/>
            <w:noWrap/>
            <w:hideMark/>
          </w:tcPr>
          <w:p w:rsidR="00077AF2" w:rsidRPr="00FE64D7" w:rsidRDefault="00077AF2" w:rsidP="009E65D5">
            <w:pPr>
              <w:spacing w:line="276" w:lineRule="auto"/>
              <w:jc w:val="center"/>
              <w:rPr>
                <w:rFonts w:ascii="Garamond" w:eastAsia="Times New Roman" w:hAnsi="Garamond" w:cs="Calibri"/>
                <w:color w:val="000000"/>
                <w:sz w:val="20"/>
                <w:szCs w:val="20"/>
                <w:lang w:val="en-IN" w:eastAsia="en-IN" w:bidi="hi-IN"/>
              </w:rPr>
            </w:pPr>
            <w:r w:rsidRPr="00FE64D7">
              <w:rPr>
                <w:rFonts w:ascii="Garamond" w:eastAsia="Times New Roman" w:hAnsi="Garamond" w:cs="Calibri"/>
                <w:color w:val="000000"/>
                <w:sz w:val="20"/>
                <w:szCs w:val="20"/>
                <w:lang w:val="en-IN" w:eastAsia="en-IN" w:bidi="hi-IN"/>
              </w:rPr>
              <w:t>Japan</w:t>
            </w:r>
          </w:p>
        </w:tc>
        <w:tc>
          <w:tcPr>
            <w:tcW w:w="1323" w:type="dxa"/>
            <w:tcBorders>
              <w:top w:val="nil"/>
              <w:left w:val="nil"/>
              <w:bottom w:val="single" w:sz="8" w:space="0" w:color="auto"/>
              <w:right w:val="single" w:sz="8" w:space="0" w:color="auto"/>
            </w:tcBorders>
            <w:shd w:val="clear" w:color="000000" w:fill="9BC2E6"/>
            <w:noWrap/>
            <w:hideMark/>
          </w:tcPr>
          <w:p w:rsidR="00077AF2" w:rsidRPr="00FE64D7" w:rsidRDefault="00077AF2" w:rsidP="009E65D5">
            <w:pPr>
              <w:spacing w:line="276" w:lineRule="auto"/>
              <w:ind w:firstLineChars="100" w:firstLine="201"/>
              <w:jc w:val="center"/>
              <w:rPr>
                <w:rFonts w:ascii="Garamond" w:hAnsi="Garamond" w:cs="Calibri"/>
                <w:b/>
                <w:bCs/>
                <w:sz w:val="20"/>
                <w:szCs w:val="20"/>
              </w:rPr>
            </w:pPr>
            <w:r w:rsidRPr="00FE64D7">
              <w:rPr>
                <w:rFonts w:ascii="Garamond" w:hAnsi="Garamond" w:cs="Calibri"/>
                <w:b/>
                <w:bCs/>
                <w:sz w:val="20"/>
                <w:szCs w:val="20"/>
              </w:rPr>
              <w:t>0.1</w:t>
            </w:r>
          </w:p>
        </w:tc>
        <w:tc>
          <w:tcPr>
            <w:tcW w:w="1377" w:type="dxa"/>
            <w:tcBorders>
              <w:top w:val="nil"/>
              <w:left w:val="nil"/>
              <w:bottom w:val="single" w:sz="8" w:space="0" w:color="auto"/>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0.1</w:t>
            </w:r>
          </w:p>
        </w:tc>
        <w:tc>
          <w:tcPr>
            <w:tcW w:w="962" w:type="dxa"/>
            <w:tcBorders>
              <w:top w:val="nil"/>
              <w:left w:val="nil"/>
              <w:bottom w:val="single" w:sz="8" w:space="0" w:color="auto"/>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0.1</w:t>
            </w:r>
          </w:p>
        </w:tc>
        <w:tc>
          <w:tcPr>
            <w:tcW w:w="962" w:type="dxa"/>
            <w:tcBorders>
              <w:top w:val="nil"/>
              <w:left w:val="nil"/>
              <w:bottom w:val="single" w:sz="8" w:space="0" w:color="auto"/>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0.1</w:t>
            </w:r>
          </w:p>
        </w:tc>
        <w:tc>
          <w:tcPr>
            <w:tcW w:w="965" w:type="dxa"/>
            <w:tcBorders>
              <w:top w:val="nil"/>
              <w:left w:val="nil"/>
              <w:bottom w:val="single" w:sz="8" w:space="0" w:color="auto"/>
              <w:right w:val="single" w:sz="8" w:space="0" w:color="auto"/>
            </w:tcBorders>
            <w:shd w:val="clear" w:color="auto" w:fill="auto"/>
            <w:noWrap/>
            <w:hideMark/>
          </w:tcPr>
          <w:p w:rsidR="00077AF2" w:rsidRPr="00FE64D7" w:rsidRDefault="00077AF2" w:rsidP="009E65D5">
            <w:pPr>
              <w:spacing w:line="276" w:lineRule="auto"/>
              <w:ind w:firstLineChars="100" w:firstLine="200"/>
              <w:jc w:val="center"/>
              <w:rPr>
                <w:rFonts w:ascii="Garamond" w:hAnsi="Garamond" w:cs="Calibri"/>
                <w:sz w:val="20"/>
                <w:szCs w:val="20"/>
              </w:rPr>
            </w:pPr>
            <w:r w:rsidRPr="00FE64D7">
              <w:rPr>
                <w:rFonts w:ascii="Garamond" w:hAnsi="Garamond" w:cs="Calibri"/>
                <w:sz w:val="20"/>
                <w:szCs w:val="20"/>
              </w:rPr>
              <w:t>0.0</w:t>
            </w:r>
          </w:p>
        </w:tc>
      </w:tr>
    </w:tbl>
    <w:p w:rsidR="00077AF2" w:rsidRPr="009E65D5" w:rsidRDefault="00077AF2" w:rsidP="009E65D5">
      <w:pPr>
        <w:spacing w:line="276" w:lineRule="auto"/>
        <w:ind w:left="1440"/>
        <w:outlineLvl w:val="0"/>
        <w:rPr>
          <w:rFonts w:ascii="Garamond" w:hAnsi="Garamond"/>
          <w:bCs/>
          <w:i/>
          <w:iCs/>
          <w:sz w:val="22"/>
          <w:szCs w:val="22"/>
        </w:rPr>
      </w:pPr>
      <w:r w:rsidRPr="009E65D5">
        <w:rPr>
          <w:rFonts w:ascii="Garamond" w:hAnsi="Garamond"/>
          <w:bCs/>
          <w:i/>
          <w:iCs/>
          <w:sz w:val="22"/>
          <w:szCs w:val="22"/>
        </w:rPr>
        <w:t>Source: Refinitiv</w:t>
      </w:r>
    </w:p>
    <w:p w:rsidR="00077AF2" w:rsidRDefault="00077AF2" w:rsidP="009E65D5">
      <w:pPr>
        <w:spacing w:line="276" w:lineRule="auto"/>
        <w:ind w:left="360"/>
        <w:contextualSpacing/>
        <w:jc w:val="center"/>
        <w:rPr>
          <w:rFonts w:ascii="Garamond" w:eastAsia="Times New Roman" w:hAnsi="Garamond"/>
          <w:b/>
          <w:u w:val="single"/>
          <w:lang w:val="en-US"/>
        </w:rPr>
      </w:pPr>
    </w:p>
    <w:p w:rsidR="00077AF2" w:rsidRPr="005559D2" w:rsidRDefault="00077AF2" w:rsidP="005559D2">
      <w:pPr>
        <w:spacing w:line="276" w:lineRule="auto"/>
        <w:ind w:left="360"/>
        <w:contextualSpacing/>
        <w:jc w:val="both"/>
        <w:rPr>
          <w:rFonts w:ascii="Garamond" w:eastAsia="Times New Roman" w:hAnsi="Garamond"/>
          <w:b/>
          <w:lang w:val="en-US" w:eastAsia="en-GB"/>
        </w:rPr>
      </w:pPr>
      <w:r w:rsidRPr="005559D2">
        <w:rPr>
          <w:rFonts w:ascii="Garamond" w:eastAsia="Times New Roman" w:hAnsi="Garamond"/>
          <w:b/>
          <w:u w:val="single"/>
          <w:lang w:val="en-US"/>
        </w:rPr>
        <w:lastRenderedPageBreak/>
        <w:t xml:space="preserve">Derivatives </w:t>
      </w:r>
      <w:r w:rsidRPr="005559D2">
        <w:rPr>
          <w:rFonts w:ascii="Garamond" w:eastAsia="Times New Roman" w:hAnsi="Garamond"/>
          <w:b/>
          <w:lang w:val="en-US" w:eastAsia="en-GB"/>
        </w:rPr>
        <w:t xml:space="preserve"> </w:t>
      </w:r>
    </w:p>
    <w:p w:rsidR="00077AF2" w:rsidRPr="005559D2" w:rsidRDefault="00077AF2" w:rsidP="005559D2">
      <w:pPr>
        <w:spacing w:line="276" w:lineRule="auto"/>
        <w:ind w:left="360"/>
        <w:contextualSpacing/>
        <w:jc w:val="both"/>
        <w:rPr>
          <w:rFonts w:ascii="Garamond" w:eastAsia="Times New Roman" w:hAnsi="Garamond"/>
          <w:b/>
          <w:lang w:val="en-US" w:eastAsia="en-GB"/>
        </w:rPr>
      </w:pP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 xml:space="preserve">Among select exchanges (as given in Table A1), during </w:t>
      </w:r>
      <w:r w:rsidRPr="005559D2">
        <w:rPr>
          <w:rFonts w:ascii="Garamond" w:eastAsia="Times New Roman" w:hAnsi="Garamond"/>
          <w:bCs/>
          <w:color w:val="000000"/>
          <w:lang w:val="en-US" w:eastAsia="en-GB"/>
        </w:rPr>
        <w:t xml:space="preserve">November </w:t>
      </w:r>
      <w:r w:rsidRPr="005559D2">
        <w:rPr>
          <w:rFonts w:ascii="Garamond" w:eastAsia="Times New Roman" w:hAnsi="Garamond"/>
          <w:bCs/>
          <w:lang w:val="en-US" w:eastAsia="en-GB"/>
        </w:rPr>
        <w:t>2021, CME Group recorded highest number of contracts traded in interest rate futures and interest rate options segment.</w:t>
      </w:r>
    </w:p>
    <w:p w:rsidR="00077AF2" w:rsidRPr="005559D2" w:rsidRDefault="00077AF2"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 xml:space="preserve">While, NSE recorded highest number of contracts traded in index options and currency futures segment. </w:t>
      </w:r>
    </w:p>
    <w:p w:rsidR="00077AF2" w:rsidRPr="005559D2" w:rsidRDefault="00077AF2" w:rsidP="005559D2">
      <w:pPr>
        <w:spacing w:line="276" w:lineRule="auto"/>
        <w:ind w:left="360"/>
        <w:jc w:val="both"/>
        <w:rPr>
          <w:rFonts w:ascii="Garamond" w:eastAsia="Times New Roman" w:hAnsi="Garamond"/>
          <w:bCs/>
          <w:lang w:val="en-US" w:eastAsia="en-GB"/>
        </w:rPr>
      </w:pPr>
    </w:p>
    <w:p w:rsidR="00077AF2" w:rsidRPr="005559D2" w:rsidRDefault="00077AF2" w:rsidP="005559D2">
      <w:pPr>
        <w:spacing w:line="276" w:lineRule="auto"/>
        <w:ind w:left="360"/>
        <w:jc w:val="both"/>
        <w:rPr>
          <w:rFonts w:ascii="Garamond" w:eastAsia="Times New Roman" w:hAnsi="Garamond"/>
          <w:bCs/>
          <w:highlight w:val="yellow"/>
          <w:lang w:val="en-US" w:eastAsia="en-GB"/>
        </w:rPr>
      </w:pPr>
      <w:r w:rsidRPr="005559D2">
        <w:rPr>
          <w:rFonts w:ascii="Garamond" w:hAnsi="Garamond"/>
          <w:b/>
          <w:bCs/>
        </w:rPr>
        <w:t>Figure 2: Number of contracts traded at major exchanges* in different derivatives segment in November 2021</w:t>
      </w:r>
    </w:p>
    <w:p w:rsidR="00077AF2" w:rsidRPr="005559D2" w:rsidRDefault="00DD1A9A" w:rsidP="00577440">
      <w:pPr>
        <w:spacing w:line="276" w:lineRule="auto"/>
        <w:ind w:left="360"/>
        <w:jc w:val="center"/>
        <w:rPr>
          <w:rFonts w:ascii="Garamond" w:hAnsi="Garamond"/>
        </w:rPr>
      </w:pPr>
      <w:r w:rsidRPr="005559D2">
        <w:rPr>
          <w:rFonts w:ascii="Garamond" w:hAnsi="Garamond"/>
          <w:noProof/>
          <w:lang w:val="en-IN" w:eastAsia="en-IN" w:bidi="hi-IN"/>
        </w:rPr>
        <w:drawing>
          <wp:inline distT="0" distB="0" distL="0" distR="0">
            <wp:extent cx="4673600" cy="3360791"/>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0456" cy="3372912"/>
                    </a:xfrm>
                    <a:prstGeom prst="rect">
                      <a:avLst/>
                    </a:prstGeom>
                    <a:noFill/>
                    <a:ln>
                      <a:noFill/>
                    </a:ln>
                  </pic:spPr>
                </pic:pic>
              </a:graphicData>
            </a:graphic>
          </wp:inline>
        </w:drawing>
      </w:r>
    </w:p>
    <w:p w:rsidR="00077AF2" w:rsidRPr="00EE14C4" w:rsidRDefault="00077AF2" w:rsidP="005559D2">
      <w:pPr>
        <w:spacing w:line="276" w:lineRule="auto"/>
        <w:ind w:left="360"/>
        <w:rPr>
          <w:rFonts w:ascii="Garamond" w:hAnsi="Garamond"/>
          <w:bCs/>
          <w:i/>
          <w:iCs/>
          <w:sz w:val="22"/>
          <w:szCs w:val="22"/>
        </w:rPr>
      </w:pPr>
      <w:r w:rsidRPr="00EE14C4">
        <w:rPr>
          <w:rFonts w:ascii="Garamond" w:hAnsi="Garamond"/>
          <w:bCs/>
          <w:i/>
          <w:iCs/>
          <w:sz w:val="22"/>
          <w:szCs w:val="22"/>
        </w:rPr>
        <w:t>Note: 1. *Major Exchanges: For each derivatives segment, exchange with highest no. of contracts traded (in that segment) among select exchanges (as given at Table A1) is considered as top exchange for the segment.</w:t>
      </w:r>
    </w:p>
    <w:p w:rsidR="00077AF2" w:rsidRPr="00EE14C4" w:rsidRDefault="00077AF2" w:rsidP="005559D2">
      <w:pPr>
        <w:spacing w:line="276" w:lineRule="auto"/>
        <w:ind w:left="360"/>
        <w:rPr>
          <w:rFonts w:ascii="Garamond" w:hAnsi="Garamond"/>
          <w:bCs/>
          <w:i/>
          <w:iCs/>
          <w:sz w:val="22"/>
          <w:szCs w:val="22"/>
        </w:rPr>
      </w:pPr>
      <w:r w:rsidRPr="00EE14C4">
        <w:rPr>
          <w:rFonts w:ascii="Garamond" w:hAnsi="Garamond"/>
          <w:bCs/>
          <w:i/>
          <w:iCs/>
          <w:sz w:val="22"/>
          <w:szCs w:val="22"/>
        </w:rPr>
        <w:t>Source: World Federation of Exchanges</w:t>
      </w:r>
    </w:p>
    <w:p w:rsidR="00077AF2" w:rsidRPr="005559D2" w:rsidRDefault="00077AF2" w:rsidP="005559D2">
      <w:pPr>
        <w:spacing w:line="276" w:lineRule="auto"/>
        <w:ind w:left="360"/>
        <w:jc w:val="both"/>
        <w:rPr>
          <w:rFonts w:ascii="Garamond" w:eastAsia="Times New Roman" w:hAnsi="Garamond"/>
          <w:bCs/>
          <w:highlight w:val="yellow"/>
          <w:lang w:val="en-US" w:eastAsia="en-GB"/>
        </w:rPr>
      </w:pPr>
    </w:p>
    <w:p w:rsidR="00077AF2" w:rsidRPr="005559D2" w:rsidRDefault="00077AF2" w:rsidP="005559D2">
      <w:pPr>
        <w:spacing w:line="276" w:lineRule="auto"/>
        <w:outlineLvl w:val="0"/>
        <w:rPr>
          <w:rFonts w:ascii="Garamond" w:eastAsia="Times New Roman" w:hAnsi="Garamond"/>
          <w:b/>
          <w:lang w:eastAsia="en-GB"/>
        </w:rPr>
      </w:pPr>
      <w:r w:rsidRPr="005559D2">
        <w:rPr>
          <w:rFonts w:ascii="Garamond" w:eastAsia="Times New Roman" w:hAnsi="Garamond"/>
          <w:b/>
          <w:u w:val="single"/>
        </w:rPr>
        <w:t xml:space="preserve">Currency Market </w:t>
      </w:r>
    </w:p>
    <w:p w:rsidR="00077AF2" w:rsidRPr="005559D2" w:rsidRDefault="00077AF2" w:rsidP="005559D2">
      <w:pPr>
        <w:spacing w:line="276" w:lineRule="auto"/>
        <w:jc w:val="both"/>
        <w:rPr>
          <w:rFonts w:ascii="Garamond" w:hAnsi="Garamond"/>
          <w:bCs/>
          <w:highlight w:val="yellow"/>
          <w:lang w:val="en-US"/>
        </w:rPr>
      </w:pPr>
    </w:p>
    <w:p w:rsidR="00077AF2" w:rsidRPr="005559D2" w:rsidRDefault="00077AF2" w:rsidP="005559D2">
      <w:pPr>
        <w:numPr>
          <w:ilvl w:val="0"/>
          <w:numId w:val="10"/>
        </w:numPr>
        <w:spacing w:line="276" w:lineRule="auto"/>
        <w:jc w:val="both"/>
        <w:rPr>
          <w:rFonts w:ascii="Garamond" w:hAnsi="Garamond"/>
          <w:bCs/>
          <w:lang w:val="en-US"/>
        </w:rPr>
      </w:pPr>
      <w:r w:rsidRPr="005559D2">
        <w:rPr>
          <w:rFonts w:ascii="Garamond" w:eastAsia="Times New Roman" w:hAnsi="Garamond"/>
          <w:bCs/>
          <w:lang w:val="en-US" w:eastAsia="en-GB"/>
        </w:rPr>
        <w:t>During December 2021, among BRICS nations, Rouble (Russia) and Rand (S. Africa), depreciated against USD by 1.0 per cent and 0.7 per cent, respectively.</w:t>
      </w:r>
    </w:p>
    <w:p w:rsidR="00077AF2" w:rsidRPr="005559D2" w:rsidRDefault="00077AF2" w:rsidP="005559D2">
      <w:pPr>
        <w:numPr>
          <w:ilvl w:val="0"/>
          <w:numId w:val="10"/>
        </w:numPr>
        <w:spacing w:line="276" w:lineRule="auto"/>
        <w:jc w:val="both"/>
        <w:rPr>
          <w:rFonts w:ascii="Garamond" w:hAnsi="Garamond"/>
          <w:bCs/>
          <w:lang w:val="en-US"/>
        </w:rPr>
      </w:pPr>
      <w:r w:rsidRPr="005559D2">
        <w:rPr>
          <w:rFonts w:ascii="Garamond" w:eastAsia="Times New Roman" w:hAnsi="Garamond"/>
          <w:bCs/>
          <w:lang w:val="en-US" w:eastAsia="en-GB"/>
        </w:rPr>
        <w:t xml:space="preserve">Among developed market, Pound, Franc and Euro appreciated against USD by 1.7 per cent, 0.7 per cent and 0.3 per cent, respectively. </w:t>
      </w:r>
    </w:p>
    <w:p w:rsidR="00077AF2" w:rsidRPr="005559D2" w:rsidRDefault="00077AF2" w:rsidP="005559D2">
      <w:pPr>
        <w:spacing w:line="276" w:lineRule="auto"/>
        <w:outlineLvl w:val="0"/>
        <w:rPr>
          <w:rFonts w:ascii="Garamond" w:eastAsia="Times New Roman" w:hAnsi="Garamond"/>
          <w:b/>
          <w:u w:val="single"/>
        </w:rPr>
      </w:pPr>
    </w:p>
    <w:p w:rsidR="00077AF2" w:rsidRPr="005559D2" w:rsidRDefault="00077AF2" w:rsidP="00EE14C4">
      <w:pPr>
        <w:spacing w:line="276" w:lineRule="auto"/>
        <w:jc w:val="center"/>
        <w:outlineLvl w:val="0"/>
        <w:rPr>
          <w:rFonts w:ascii="Garamond" w:hAnsi="Garamond"/>
          <w:bCs/>
        </w:rPr>
      </w:pPr>
      <w:r w:rsidRPr="005559D2">
        <w:rPr>
          <w:rFonts w:ascii="Garamond" w:hAnsi="Garamond"/>
          <w:b/>
          <w:bCs/>
        </w:rPr>
        <w:br w:type="page"/>
      </w:r>
      <w:r w:rsidRPr="005559D2">
        <w:rPr>
          <w:rFonts w:ascii="Garamond" w:hAnsi="Garamond"/>
          <w:b/>
          <w:bCs/>
        </w:rPr>
        <w:lastRenderedPageBreak/>
        <w:t>Table 3: Movement in Major Currencies across developing and developed markets</w:t>
      </w:r>
    </w:p>
    <w:p w:rsidR="00077AF2" w:rsidRPr="005559D2" w:rsidRDefault="00077AF2" w:rsidP="005559D2">
      <w:pPr>
        <w:spacing w:line="276" w:lineRule="auto"/>
        <w:jc w:val="both"/>
        <w:rPr>
          <w:rFonts w:ascii="Garamond" w:hAnsi="Garamond"/>
          <w:bCs/>
        </w:rPr>
      </w:pPr>
    </w:p>
    <w:tbl>
      <w:tblPr>
        <w:tblW w:w="8554" w:type="dxa"/>
        <w:jc w:val="center"/>
        <w:tblLook w:val="04A0" w:firstRow="1" w:lastRow="0" w:firstColumn="1" w:lastColumn="0" w:noHBand="0" w:noVBand="1"/>
      </w:tblPr>
      <w:tblGrid>
        <w:gridCol w:w="1317"/>
        <w:gridCol w:w="1280"/>
        <w:gridCol w:w="1354"/>
        <w:gridCol w:w="1374"/>
        <w:gridCol w:w="1024"/>
        <w:gridCol w:w="1170"/>
        <w:gridCol w:w="1024"/>
        <w:gridCol w:w="11"/>
      </w:tblGrid>
      <w:tr w:rsidR="00077AF2" w:rsidRPr="00EE14C4" w:rsidTr="00EE14C4">
        <w:trPr>
          <w:gridAfter w:val="1"/>
          <w:wAfter w:w="11" w:type="dxa"/>
          <w:trHeight w:val="478"/>
          <w:jc w:val="center"/>
        </w:trPr>
        <w:tc>
          <w:tcPr>
            <w:tcW w:w="1317"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Country</w:t>
            </w:r>
          </w:p>
        </w:tc>
        <w:tc>
          <w:tcPr>
            <w:tcW w:w="1280" w:type="dxa"/>
            <w:tcBorders>
              <w:top w:val="single" w:sz="8" w:space="0" w:color="auto"/>
              <w:left w:val="nil"/>
              <w:bottom w:val="nil"/>
              <w:right w:val="single" w:sz="8" w:space="0" w:color="auto"/>
            </w:tcBorders>
            <w:shd w:val="clear" w:color="000000" w:fill="B4C6E7"/>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Currency</w:t>
            </w:r>
          </w:p>
        </w:tc>
        <w:tc>
          <w:tcPr>
            <w:tcW w:w="1354" w:type="dxa"/>
            <w:tcBorders>
              <w:top w:val="single" w:sz="8" w:space="0" w:color="auto"/>
              <w:left w:val="nil"/>
              <w:bottom w:val="nil"/>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Index as on</w:t>
            </w:r>
          </w:p>
        </w:tc>
        <w:tc>
          <w:tcPr>
            <w:tcW w:w="4592" w:type="dxa"/>
            <w:gridSpan w:val="4"/>
            <w:tcBorders>
              <w:top w:val="single" w:sz="8" w:space="0" w:color="auto"/>
              <w:left w:val="nil"/>
              <w:bottom w:val="single" w:sz="8" w:space="0" w:color="auto"/>
              <w:right w:val="single" w:sz="8" w:space="0" w:color="000000"/>
            </w:tcBorders>
            <w:shd w:val="clear" w:color="000000" w:fill="B4C6E7"/>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Percentage change in Currency Index over period</w:t>
            </w:r>
          </w:p>
        </w:tc>
      </w:tr>
      <w:tr w:rsidR="00077AF2" w:rsidRPr="00EE14C4" w:rsidTr="00EE14C4">
        <w:trPr>
          <w:gridAfter w:val="1"/>
          <w:wAfter w:w="11" w:type="dxa"/>
          <w:trHeight w:val="264"/>
          <w:jc w:val="center"/>
        </w:trPr>
        <w:tc>
          <w:tcPr>
            <w:tcW w:w="1317" w:type="dxa"/>
            <w:vMerge/>
            <w:tcBorders>
              <w:top w:val="single" w:sz="8" w:space="0" w:color="auto"/>
              <w:left w:val="single" w:sz="8" w:space="0" w:color="auto"/>
              <w:bottom w:val="single" w:sz="8" w:space="0" w:color="000000"/>
              <w:right w:val="single" w:sz="8" w:space="0" w:color="auto"/>
            </w:tcBorders>
            <w:vAlign w:val="center"/>
            <w:hideMark/>
          </w:tcPr>
          <w:p w:rsidR="00077AF2" w:rsidRPr="00EE14C4" w:rsidRDefault="00077AF2" w:rsidP="005559D2">
            <w:pPr>
              <w:spacing w:line="276" w:lineRule="auto"/>
              <w:rPr>
                <w:rFonts w:ascii="Garamond" w:eastAsia="Times New Roman" w:hAnsi="Garamond" w:cs="Calibri"/>
                <w:b/>
                <w:bCs/>
                <w:sz w:val="22"/>
                <w:szCs w:val="22"/>
                <w:lang w:val="en-IN" w:eastAsia="en-IN" w:bidi="hi-IN"/>
              </w:rPr>
            </w:pPr>
          </w:p>
        </w:tc>
        <w:tc>
          <w:tcPr>
            <w:tcW w:w="1280" w:type="dxa"/>
            <w:tcBorders>
              <w:top w:val="nil"/>
              <w:left w:val="nil"/>
              <w:bottom w:val="single" w:sz="8" w:space="0" w:color="auto"/>
              <w:right w:val="single" w:sz="8" w:space="0" w:color="auto"/>
            </w:tcBorders>
            <w:shd w:val="clear" w:color="000000" w:fill="B4C6E7"/>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 </w:t>
            </w:r>
          </w:p>
        </w:tc>
        <w:tc>
          <w:tcPr>
            <w:tcW w:w="1354" w:type="dxa"/>
            <w:tcBorders>
              <w:top w:val="nil"/>
              <w:left w:val="nil"/>
              <w:bottom w:val="single" w:sz="8" w:space="0" w:color="auto"/>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31-Dec-21</w:t>
            </w:r>
          </w:p>
        </w:tc>
        <w:tc>
          <w:tcPr>
            <w:tcW w:w="1374" w:type="dxa"/>
            <w:tcBorders>
              <w:top w:val="nil"/>
              <w:left w:val="nil"/>
              <w:bottom w:val="single" w:sz="8" w:space="0" w:color="auto"/>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1-Month</w:t>
            </w:r>
          </w:p>
        </w:tc>
        <w:tc>
          <w:tcPr>
            <w:tcW w:w="1024" w:type="dxa"/>
            <w:tcBorders>
              <w:top w:val="nil"/>
              <w:left w:val="nil"/>
              <w:bottom w:val="single" w:sz="8" w:space="0" w:color="auto"/>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3-Month</w:t>
            </w:r>
          </w:p>
        </w:tc>
        <w:tc>
          <w:tcPr>
            <w:tcW w:w="1170" w:type="dxa"/>
            <w:tcBorders>
              <w:top w:val="nil"/>
              <w:left w:val="nil"/>
              <w:bottom w:val="single" w:sz="8" w:space="0" w:color="auto"/>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6-Month</w:t>
            </w:r>
          </w:p>
        </w:tc>
        <w:tc>
          <w:tcPr>
            <w:tcW w:w="1024" w:type="dxa"/>
            <w:tcBorders>
              <w:top w:val="nil"/>
              <w:left w:val="nil"/>
              <w:bottom w:val="single" w:sz="8" w:space="0" w:color="auto"/>
              <w:right w:val="single" w:sz="8" w:space="0" w:color="auto"/>
            </w:tcBorders>
            <w:shd w:val="clear" w:color="000000" w:fill="B4C6E7"/>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1-Year</w:t>
            </w:r>
          </w:p>
        </w:tc>
      </w:tr>
      <w:tr w:rsidR="00077AF2" w:rsidRPr="00EE14C4" w:rsidTr="00EE14C4">
        <w:trPr>
          <w:trHeight w:val="264"/>
          <w:jc w:val="center"/>
        </w:trPr>
        <w:tc>
          <w:tcPr>
            <w:tcW w:w="8554" w:type="dxa"/>
            <w:gridSpan w:val="8"/>
            <w:tcBorders>
              <w:top w:val="single" w:sz="8" w:space="0" w:color="auto"/>
              <w:left w:val="single" w:sz="8" w:space="0" w:color="auto"/>
              <w:bottom w:val="single" w:sz="8" w:space="0" w:color="auto"/>
              <w:right w:val="single" w:sz="8" w:space="0" w:color="000000"/>
            </w:tcBorders>
            <w:shd w:val="clear" w:color="000000" w:fill="D9E1F2"/>
            <w:noWrap/>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BRICS Nations</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Brazil</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Real</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lang w:val="en-IN" w:eastAsia="en-IN" w:bidi="hi-IN"/>
              </w:rPr>
            </w:pPr>
            <w:r w:rsidRPr="00EE14C4">
              <w:rPr>
                <w:rFonts w:ascii="Garamond" w:hAnsi="Garamond" w:cs="Calibri"/>
                <w:sz w:val="22"/>
                <w:szCs w:val="22"/>
              </w:rPr>
              <w:t>5.6</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-1.0</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2.3</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12.1</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7.3</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Russia</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Rouble</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74.6</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1.0</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2.7</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2.2</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1.0</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India</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Rupee</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74.5</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-0.8</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0.4</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0.1</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2.0</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China</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Renminbi</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6.4</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-0.2</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-1.4</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-1.6</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-2.6</w:t>
            </w:r>
          </w:p>
        </w:tc>
      </w:tr>
      <w:tr w:rsidR="00077AF2" w:rsidRPr="00EE14C4" w:rsidTr="00EE14C4">
        <w:trPr>
          <w:gridAfter w:val="1"/>
          <w:wAfter w:w="11" w:type="dxa"/>
          <w:trHeight w:val="264"/>
          <w:jc w:val="center"/>
        </w:trPr>
        <w:tc>
          <w:tcPr>
            <w:tcW w:w="1317" w:type="dxa"/>
            <w:tcBorders>
              <w:top w:val="nil"/>
              <w:left w:val="single" w:sz="8" w:space="0" w:color="auto"/>
              <w:bottom w:val="single" w:sz="8" w:space="0" w:color="auto"/>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S. Africa</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Rand</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16.0</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0.7</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6.0</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12.1</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8.9</w:t>
            </w:r>
          </w:p>
        </w:tc>
      </w:tr>
      <w:tr w:rsidR="00077AF2" w:rsidRPr="00EE14C4" w:rsidTr="00EE14C4">
        <w:trPr>
          <w:trHeight w:val="264"/>
          <w:jc w:val="center"/>
        </w:trPr>
        <w:tc>
          <w:tcPr>
            <w:tcW w:w="8554" w:type="dxa"/>
            <w:gridSpan w:val="8"/>
            <w:tcBorders>
              <w:top w:val="single" w:sz="8" w:space="0" w:color="auto"/>
              <w:left w:val="single" w:sz="8" w:space="0" w:color="auto"/>
              <w:bottom w:val="single" w:sz="8" w:space="0" w:color="auto"/>
              <w:right w:val="single" w:sz="8" w:space="0" w:color="000000"/>
            </w:tcBorders>
            <w:shd w:val="clear" w:color="000000" w:fill="D9E1F2"/>
            <w:hideMark/>
          </w:tcPr>
          <w:p w:rsidR="00077AF2" w:rsidRPr="00EE14C4" w:rsidRDefault="00077AF2" w:rsidP="005559D2">
            <w:pPr>
              <w:spacing w:line="276" w:lineRule="auto"/>
              <w:jc w:val="center"/>
              <w:rPr>
                <w:rFonts w:ascii="Garamond" w:eastAsia="Times New Roman" w:hAnsi="Garamond" w:cs="Calibri"/>
                <w:b/>
                <w:bCs/>
                <w:sz w:val="22"/>
                <w:szCs w:val="22"/>
                <w:lang w:val="en-IN" w:eastAsia="en-IN" w:bidi="hi-IN"/>
              </w:rPr>
            </w:pPr>
            <w:r w:rsidRPr="00EE14C4">
              <w:rPr>
                <w:rFonts w:ascii="Garamond" w:eastAsia="Times New Roman" w:hAnsi="Garamond" w:cs="Calibri"/>
                <w:b/>
                <w:bCs/>
                <w:sz w:val="22"/>
                <w:szCs w:val="22"/>
                <w:lang w:val="en-IN" w:eastAsia="en-IN" w:bidi="hi-IN"/>
              </w:rPr>
              <w:t>Developed Markets</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UK</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Pound</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lang w:val="en-IN" w:eastAsia="en-IN" w:bidi="hi-IN"/>
              </w:rPr>
            </w:pPr>
            <w:r w:rsidRPr="00EE14C4">
              <w:rPr>
                <w:rFonts w:ascii="Garamond" w:hAnsi="Garamond" w:cs="Calibri"/>
                <w:sz w:val="22"/>
                <w:szCs w:val="22"/>
              </w:rPr>
              <w:t>0.7</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-1.7</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-0.4</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2.2</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1.1</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Europe</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Euro</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0.9</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-0.3</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1.9</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4.3</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7.4</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Japan</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Yen</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115.1</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1.7</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3.4</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3.6</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11.5</w:t>
            </w:r>
          </w:p>
        </w:tc>
      </w:tr>
      <w:tr w:rsidR="00077AF2" w:rsidRPr="00EE14C4" w:rsidTr="00EE14C4">
        <w:trPr>
          <w:gridAfter w:val="1"/>
          <w:wAfter w:w="11" w:type="dxa"/>
          <w:trHeight w:val="251"/>
          <w:jc w:val="center"/>
        </w:trPr>
        <w:tc>
          <w:tcPr>
            <w:tcW w:w="1317" w:type="dxa"/>
            <w:tcBorders>
              <w:top w:val="nil"/>
              <w:left w:val="single" w:sz="8" w:space="0" w:color="auto"/>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France</w:t>
            </w:r>
          </w:p>
        </w:tc>
        <w:tc>
          <w:tcPr>
            <w:tcW w:w="1280" w:type="dxa"/>
            <w:tcBorders>
              <w:top w:val="nil"/>
              <w:left w:val="nil"/>
              <w:bottom w:val="nil"/>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Franc</w:t>
            </w:r>
          </w:p>
        </w:tc>
        <w:tc>
          <w:tcPr>
            <w:tcW w:w="1354" w:type="dxa"/>
            <w:tcBorders>
              <w:top w:val="nil"/>
              <w:left w:val="nil"/>
              <w:bottom w:val="nil"/>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0.9</w:t>
            </w:r>
          </w:p>
        </w:tc>
        <w:tc>
          <w:tcPr>
            <w:tcW w:w="137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-0.7</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-2.1</w:t>
            </w:r>
          </w:p>
        </w:tc>
        <w:tc>
          <w:tcPr>
            <w:tcW w:w="1170"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-1.4</w:t>
            </w:r>
          </w:p>
        </w:tc>
        <w:tc>
          <w:tcPr>
            <w:tcW w:w="1024" w:type="dxa"/>
            <w:tcBorders>
              <w:top w:val="nil"/>
              <w:left w:val="nil"/>
              <w:bottom w:val="nil"/>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3.1</w:t>
            </w:r>
          </w:p>
        </w:tc>
      </w:tr>
      <w:tr w:rsidR="00077AF2" w:rsidRPr="00EE14C4" w:rsidTr="00EE14C4">
        <w:trPr>
          <w:gridAfter w:val="1"/>
          <w:wAfter w:w="11" w:type="dxa"/>
          <w:trHeight w:val="264"/>
          <w:jc w:val="center"/>
        </w:trPr>
        <w:tc>
          <w:tcPr>
            <w:tcW w:w="1317" w:type="dxa"/>
            <w:tcBorders>
              <w:top w:val="nil"/>
              <w:left w:val="single" w:sz="8" w:space="0" w:color="auto"/>
              <w:bottom w:val="single" w:sz="8" w:space="0" w:color="auto"/>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US</w:t>
            </w:r>
          </w:p>
        </w:tc>
        <w:tc>
          <w:tcPr>
            <w:tcW w:w="1280" w:type="dxa"/>
            <w:tcBorders>
              <w:top w:val="nil"/>
              <w:left w:val="nil"/>
              <w:bottom w:val="single" w:sz="8" w:space="0" w:color="auto"/>
              <w:right w:val="single" w:sz="8" w:space="0" w:color="auto"/>
            </w:tcBorders>
            <w:shd w:val="clear" w:color="000000" w:fill="D9E1F2"/>
            <w:noWrap/>
            <w:hideMark/>
          </w:tcPr>
          <w:p w:rsidR="00077AF2" w:rsidRPr="00EE14C4" w:rsidRDefault="00077AF2" w:rsidP="005559D2">
            <w:pPr>
              <w:spacing w:line="276" w:lineRule="auto"/>
              <w:rPr>
                <w:rFonts w:ascii="Garamond" w:eastAsia="Times New Roman" w:hAnsi="Garamond" w:cs="Calibri"/>
                <w:sz w:val="22"/>
                <w:szCs w:val="22"/>
                <w:lang w:val="en-IN" w:eastAsia="en-IN" w:bidi="hi-IN"/>
              </w:rPr>
            </w:pPr>
            <w:r w:rsidRPr="00EE14C4">
              <w:rPr>
                <w:rFonts w:ascii="Garamond" w:eastAsia="Times New Roman" w:hAnsi="Garamond" w:cs="Calibri"/>
                <w:sz w:val="22"/>
                <w:szCs w:val="22"/>
                <w:lang w:val="en-IN" w:eastAsia="en-IN" w:bidi="hi-IN"/>
              </w:rPr>
              <w:t>Dollar Index</w:t>
            </w:r>
          </w:p>
        </w:tc>
        <w:tc>
          <w:tcPr>
            <w:tcW w:w="1354" w:type="dxa"/>
            <w:tcBorders>
              <w:top w:val="nil"/>
              <w:left w:val="nil"/>
              <w:bottom w:val="single" w:sz="8" w:space="0" w:color="auto"/>
              <w:right w:val="single" w:sz="8" w:space="0" w:color="auto"/>
            </w:tcBorders>
            <w:shd w:val="clear" w:color="000000" w:fill="9BC2E6"/>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96.0</w:t>
            </w:r>
          </w:p>
        </w:tc>
        <w:tc>
          <w:tcPr>
            <w:tcW w:w="1374" w:type="dxa"/>
            <w:tcBorders>
              <w:top w:val="nil"/>
              <w:left w:val="nil"/>
              <w:bottom w:val="single" w:sz="8" w:space="0" w:color="auto"/>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0.0</w:t>
            </w:r>
          </w:p>
        </w:tc>
        <w:tc>
          <w:tcPr>
            <w:tcW w:w="1024" w:type="dxa"/>
            <w:tcBorders>
              <w:top w:val="nil"/>
              <w:left w:val="nil"/>
              <w:bottom w:val="single" w:sz="8" w:space="0" w:color="auto"/>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1.8</w:t>
            </w:r>
          </w:p>
        </w:tc>
        <w:tc>
          <w:tcPr>
            <w:tcW w:w="1170" w:type="dxa"/>
            <w:tcBorders>
              <w:top w:val="nil"/>
              <w:left w:val="nil"/>
              <w:bottom w:val="single" w:sz="8" w:space="0" w:color="auto"/>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3.8</w:t>
            </w:r>
          </w:p>
        </w:tc>
        <w:tc>
          <w:tcPr>
            <w:tcW w:w="1024" w:type="dxa"/>
            <w:tcBorders>
              <w:top w:val="nil"/>
              <w:left w:val="nil"/>
              <w:bottom w:val="single" w:sz="8" w:space="0" w:color="auto"/>
              <w:right w:val="single" w:sz="8" w:space="0" w:color="auto"/>
            </w:tcBorders>
            <w:shd w:val="clear" w:color="auto" w:fill="auto"/>
            <w:noWrap/>
            <w:hideMark/>
          </w:tcPr>
          <w:p w:rsidR="00077AF2" w:rsidRPr="00EE14C4" w:rsidRDefault="00077AF2" w:rsidP="005559D2">
            <w:pPr>
              <w:spacing w:line="276" w:lineRule="auto"/>
              <w:ind w:firstLineChars="100" w:firstLine="220"/>
              <w:jc w:val="right"/>
              <w:rPr>
                <w:rFonts w:ascii="Garamond" w:hAnsi="Garamond" w:cs="Calibri"/>
                <w:sz w:val="22"/>
                <w:szCs w:val="22"/>
              </w:rPr>
            </w:pPr>
            <w:r w:rsidRPr="00EE14C4">
              <w:rPr>
                <w:rFonts w:ascii="Garamond" w:hAnsi="Garamond" w:cs="Calibri"/>
                <w:sz w:val="22"/>
                <w:szCs w:val="22"/>
              </w:rPr>
              <w:t>6.7</w:t>
            </w:r>
          </w:p>
        </w:tc>
      </w:tr>
    </w:tbl>
    <w:p w:rsidR="00077AF2" w:rsidRPr="005559D2" w:rsidRDefault="00077AF2" w:rsidP="005559D2">
      <w:pPr>
        <w:spacing w:line="276" w:lineRule="auto"/>
        <w:jc w:val="both"/>
        <w:rPr>
          <w:rFonts w:ascii="Garamond" w:hAnsi="Garamond"/>
          <w:bCs/>
        </w:rPr>
      </w:pPr>
    </w:p>
    <w:p w:rsidR="00077AF2" w:rsidRPr="00EE14C4" w:rsidRDefault="00077AF2" w:rsidP="005559D2">
      <w:pPr>
        <w:spacing w:line="276" w:lineRule="auto"/>
        <w:jc w:val="both"/>
        <w:rPr>
          <w:rFonts w:ascii="Garamond" w:hAnsi="Garamond"/>
          <w:bCs/>
          <w:i/>
          <w:iCs/>
          <w:sz w:val="22"/>
          <w:szCs w:val="22"/>
        </w:rPr>
      </w:pPr>
      <w:r w:rsidRPr="00EE14C4">
        <w:rPr>
          <w:rFonts w:ascii="Garamond" w:hAnsi="Garamond"/>
          <w:bCs/>
          <w:i/>
          <w:iCs/>
          <w:sz w:val="22"/>
          <w:szCs w:val="22"/>
        </w:rPr>
        <w:t>Note: 1. All Currency rates are against USD (excluding USD Index)</w:t>
      </w:r>
    </w:p>
    <w:p w:rsidR="00077AF2" w:rsidRPr="00EE14C4" w:rsidRDefault="00077AF2" w:rsidP="005559D2">
      <w:pPr>
        <w:spacing w:line="276" w:lineRule="auto"/>
        <w:jc w:val="both"/>
        <w:rPr>
          <w:rFonts w:ascii="Garamond" w:hAnsi="Garamond"/>
          <w:bCs/>
          <w:i/>
          <w:iCs/>
          <w:sz w:val="22"/>
          <w:szCs w:val="22"/>
        </w:rPr>
      </w:pPr>
      <w:r w:rsidRPr="00EE14C4">
        <w:rPr>
          <w:rFonts w:ascii="Garamond" w:hAnsi="Garamond"/>
          <w:bCs/>
          <w:i/>
          <w:iCs/>
          <w:sz w:val="22"/>
          <w:szCs w:val="22"/>
        </w:rPr>
        <w:t>2. Negative sign indicates appreciation of quote currency against the base currency (USD)</w:t>
      </w:r>
    </w:p>
    <w:p w:rsidR="00077AF2" w:rsidRPr="00EE14C4" w:rsidRDefault="00077AF2" w:rsidP="005559D2">
      <w:pPr>
        <w:spacing w:line="276" w:lineRule="auto"/>
        <w:jc w:val="both"/>
        <w:rPr>
          <w:rFonts w:ascii="Garamond" w:hAnsi="Garamond"/>
          <w:bCs/>
          <w:i/>
          <w:iCs/>
          <w:sz w:val="22"/>
          <w:szCs w:val="22"/>
        </w:rPr>
      </w:pPr>
      <w:r w:rsidRPr="00EE14C4">
        <w:rPr>
          <w:rFonts w:ascii="Garamond" w:hAnsi="Garamond"/>
          <w:bCs/>
          <w:i/>
          <w:iCs/>
          <w:sz w:val="22"/>
          <w:szCs w:val="22"/>
        </w:rPr>
        <w:t>Source: Refinitiv</w:t>
      </w:r>
    </w:p>
    <w:p w:rsidR="00077AF2" w:rsidRPr="005559D2" w:rsidRDefault="00077AF2" w:rsidP="005559D2">
      <w:pPr>
        <w:spacing w:line="276" w:lineRule="auto"/>
        <w:rPr>
          <w:rFonts w:ascii="Garamond" w:hAnsi="Garamond"/>
          <w:b/>
          <w:bCs/>
        </w:rPr>
      </w:pPr>
    </w:p>
    <w:p w:rsidR="00077AF2" w:rsidRDefault="00077AF2" w:rsidP="005559D2">
      <w:pPr>
        <w:spacing w:line="276" w:lineRule="auto"/>
        <w:rPr>
          <w:rFonts w:ascii="Garamond" w:hAnsi="Garamond"/>
          <w:b/>
          <w:bCs/>
        </w:rPr>
      </w:pPr>
      <w:r w:rsidRPr="005559D2">
        <w:rPr>
          <w:rFonts w:ascii="Garamond" w:hAnsi="Garamond"/>
          <w:b/>
          <w:bCs/>
        </w:rPr>
        <w:t>Figure 3: Movement of the USD-INR Index, US Dollar Index and MSCI EM Currency Index</w:t>
      </w:r>
    </w:p>
    <w:p w:rsidR="00577440" w:rsidRPr="005559D2" w:rsidRDefault="00577440" w:rsidP="005559D2">
      <w:pPr>
        <w:spacing w:line="276" w:lineRule="auto"/>
        <w:rPr>
          <w:rFonts w:ascii="Garamond" w:hAnsi="Garamond"/>
          <w:b/>
          <w:bCs/>
        </w:rPr>
      </w:pPr>
      <w:r w:rsidRPr="008F6BC9">
        <w:rPr>
          <w:noProof/>
          <w:lang w:val="en-IN" w:eastAsia="en-IN" w:bidi="hi-IN"/>
        </w:rPr>
        <w:drawing>
          <wp:inline distT="0" distB="0" distL="0" distR="0" wp14:anchorId="599C52F9" wp14:editId="5D27F6B1">
            <wp:extent cx="5943600" cy="2495550"/>
            <wp:effectExtent l="0" t="0" r="0"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7AF2" w:rsidRPr="00577440" w:rsidRDefault="00077AF2" w:rsidP="005559D2">
      <w:pPr>
        <w:tabs>
          <w:tab w:val="left" w:pos="3760"/>
        </w:tabs>
        <w:spacing w:line="276" w:lineRule="auto"/>
        <w:rPr>
          <w:rFonts w:ascii="Garamond" w:hAnsi="Garamond"/>
          <w:bCs/>
          <w:sz w:val="20"/>
          <w:szCs w:val="20"/>
        </w:rPr>
      </w:pPr>
      <w:r w:rsidRPr="00577440">
        <w:rPr>
          <w:rFonts w:ascii="Garamond" w:hAnsi="Garamond"/>
          <w:bCs/>
          <w:sz w:val="20"/>
          <w:szCs w:val="20"/>
        </w:rPr>
        <w:t>Note:</w:t>
      </w:r>
    </w:p>
    <w:p w:rsidR="00077AF2" w:rsidRPr="00577440" w:rsidRDefault="00077AF2" w:rsidP="005559D2">
      <w:pPr>
        <w:widowControl w:val="0"/>
        <w:numPr>
          <w:ilvl w:val="0"/>
          <w:numId w:val="27"/>
        </w:numPr>
        <w:autoSpaceDE w:val="0"/>
        <w:autoSpaceDN w:val="0"/>
        <w:adjustRightInd w:val="0"/>
        <w:spacing w:line="276" w:lineRule="auto"/>
        <w:ind w:right="1788"/>
        <w:jc w:val="both"/>
        <w:rPr>
          <w:rFonts w:ascii="Garamond" w:eastAsia="Times New Roman" w:hAnsi="Garamond"/>
          <w:bCs/>
          <w:sz w:val="20"/>
          <w:szCs w:val="20"/>
        </w:rPr>
      </w:pPr>
      <w:r w:rsidRPr="00577440">
        <w:rPr>
          <w:rFonts w:ascii="Garamond" w:eastAsia="Times New Roman" w:hAnsi="Garamond"/>
          <w:bCs/>
          <w:sz w:val="20"/>
          <w:szCs w:val="20"/>
        </w:rPr>
        <w:t>All indices have been normalised to 100 on 31 Dec 2020.</w:t>
      </w:r>
    </w:p>
    <w:p w:rsidR="00077AF2" w:rsidRPr="00577440" w:rsidRDefault="00077AF2" w:rsidP="005559D2">
      <w:pPr>
        <w:widowControl w:val="0"/>
        <w:numPr>
          <w:ilvl w:val="0"/>
          <w:numId w:val="27"/>
        </w:numPr>
        <w:autoSpaceDE w:val="0"/>
        <w:autoSpaceDN w:val="0"/>
        <w:adjustRightInd w:val="0"/>
        <w:spacing w:line="276" w:lineRule="auto"/>
        <w:ind w:right="1788"/>
        <w:jc w:val="both"/>
        <w:rPr>
          <w:rFonts w:ascii="Garamond" w:eastAsia="Times New Roman" w:hAnsi="Garamond"/>
          <w:bCs/>
          <w:sz w:val="20"/>
          <w:szCs w:val="20"/>
        </w:rPr>
      </w:pPr>
      <w:r w:rsidRPr="00577440">
        <w:rPr>
          <w:rFonts w:ascii="Garamond" w:eastAsia="Times New Roman" w:hAnsi="Garamond"/>
          <w:bCs/>
          <w:sz w:val="20"/>
          <w:szCs w:val="20"/>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077AF2" w:rsidRPr="00577440" w:rsidRDefault="00077AF2" w:rsidP="005559D2">
      <w:pPr>
        <w:widowControl w:val="0"/>
        <w:numPr>
          <w:ilvl w:val="0"/>
          <w:numId w:val="27"/>
        </w:numPr>
        <w:autoSpaceDE w:val="0"/>
        <w:autoSpaceDN w:val="0"/>
        <w:adjustRightInd w:val="0"/>
        <w:spacing w:line="276" w:lineRule="auto"/>
        <w:ind w:right="1788"/>
        <w:jc w:val="both"/>
        <w:rPr>
          <w:rFonts w:ascii="Garamond" w:eastAsia="Times New Roman" w:hAnsi="Garamond"/>
          <w:bCs/>
          <w:sz w:val="20"/>
          <w:szCs w:val="20"/>
        </w:rPr>
      </w:pPr>
      <w:r w:rsidRPr="00577440">
        <w:rPr>
          <w:rFonts w:ascii="Garamond" w:eastAsia="Times New Roman" w:hAnsi="Garamond"/>
          <w:bCs/>
          <w:sz w:val="20"/>
          <w:szCs w:val="20"/>
        </w:rPr>
        <w:t>The MSCI Emerging Markets (EM) Currency Index tracks the performance of twenty-five emerging-market currencies relative to the US Dollar.</w:t>
      </w:r>
    </w:p>
    <w:p w:rsidR="00077AF2" w:rsidRPr="00577440" w:rsidRDefault="00077AF2" w:rsidP="005559D2">
      <w:pPr>
        <w:spacing w:line="276" w:lineRule="auto"/>
        <w:outlineLvl w:val="0"/>
        <w:rPr>
          <w:rFonts w:ascii="Garamond" w:hAnsi="Garamond"/>
          <w:bCs/>
          <w:sz w:val="20"/>
          <w:szCs w:val="20"/>
        </w:rPr>
      </w:pPr>
      <w:r w:rsidRPr="00577440">
        <w:rPr>
          <w:rFonts w:ascii="Garamond" w:hAnsi="Garamond"/>
          <w:bCs/>
          <w:sz w:val="20"/>
          <w:szCs w:val="20"/>
        </w:rPr>
        <w:t>Source: Refinitiv</w:t>
      </w:r>
    </w:p>
    <w:p w:rsidR="00077AF2" w:rsidRPr="005559D2" w:rsidRDefault="00077AF2" w:rsidP="005559D2">
      <w:pPr>
        <w:spacing w:after="240" w:line="276" w:lineRule="auto"/>
        <w:jc w:val="both"/>
        <w:rPr>
          <w:rFonts w:ascii="Garamond" w:eastAsia="Times New Roman" w:hAnsi="Garamond"/>
          <w:bCs/>
          <w:lang w:eastAsia="en-GB"/>
        </w:rPr>
      </w:pPr>
    </w:p>
    <w:p w:rsidR="00077AF2" w:rsidRPr="005559D2" w:rsidRDefault="00077AF2" w:rsidP="005559D2">
      <w:pPr>
        <w:spacing w:line="276" w:lineRule="auto"/>
        <w:outlineLvl w:val="0"/>
        <w:rPr>
          <w:rFonts w:ascii="Garamond" w:eastAsia="Times New Roman" w:hAnsi="Garamond"/>
          <w:b/>
          <w:highlight w:val="yellow"/>
          <w:lang w:eastAsia="en-GB"/>
        </w:rPr>
      </w:pPr>
      <w:r w:rsidRPr="005559D2">
        <w:rPr>
          <w:rFonts w:ascii="Garamond" w:eastAsia="Times New Roman" w:hAnsi="Garamond"/>
          <w:b/>
          <w:u w:val="single"/>
        </w:rPr>
        <w:br w:type="page"/>
      </w:r>
      <w:r w:rsidRPr="00577440">
        <w:rPr>
          <w:rFonts w:ascii="Garamond" w:eastAsia="Times New Roman" w:hAnsi="Garamond"/>
          <w:b/>
          <w:u w:val="single"/>
        </w:rPr>
        <w:lastRenderedPageBreak/>
        <w:t>US Treasury Securities- Foreign holdings</w:t>
      </w:r>
    </w:p>
    <w:p w:rsidR="00077AF2" w:rsidRPr="005559D2" w:rsidRDefault="00077AF2" w:rsidP="005559D2">
      <w:pPr>
        <w:spacing w:line="276" w:lineRule="auto"/>
        <w:outlineLvl w:val="0"/>
        <w:rPr>
          <w:rFonts w:ascii="Garamond" w:hAnsi="Garamond"/>
          <w:bCs/>
        </w:rPr>
      </w:pPr>
    </w:p>
    <w:p w:rsidR="005E0219" w:rsidRPr="005559D2" w:rsidRDefault="005E0219"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 xml:space="preserve">At the end of November 2021, Japan was the biggest foreign holder of US Treasury Securities, holding 17.3 per cent of the total US treasury Securities, followed by China (13.9 per cent). The total foreign holding of US Treasury Securities at the end of November 2021 was USD 7,748 billion. The holdings of US Treasury Securities by India stood at 2.6 per cent (205 billion) as at the end of November 2021. </w:t>
      </w:r>
    </w:p>
    <w:p w:rsidR="005E0219" w:rsidRPr="005559D2" w:rsidRDefault="005E0219" w:rsidP="005559D2">
      <w:pPr>
        <w:numPr>
          <w:ilvl w:val="0"/>
          <w:numId w:val="10"/>
        </w:numPr>
        <w:spacing w:line="276" w:lineRule="auto"/>
        <w:jc w:val="both"/>
        <w:rPr>
          <w:rFonts w:ascii="Garamond" w:eastAsia="Times New Roman" w:hAnsi="Garamond"/>
          <w:bCs/>
          <w:lang w:val="en-US" w:eastAsia="en-GB"/>
        </w:rPr>
      </w:pPr>
      <w:r w:rsidRPr="005559D2">
        <w:rPr>
          <w:rFonts w:ascii="Garamond" w:eastAsia="Times New Roman" w:hAnsi="Garamond"/>
          <w:bCs/>
          <w:lang w:val="en-US" w:eastAsia="en-GB"/>
        </w:rPr>
        <w:t>As compared to previous month, India’s holding of US Treasury Securities declined by 2.6 per cent, as at end of November 2021.</w:t>
      </w:r>
    </w:p>
    <w:p w:rsidR="005E0219" w:rsidRPr="005559D2" w:rsidRDefault="005E0219" w:rsidP="005559D2">
      <w:pPr>
        <w:spacing w:line="276" w:lineRule="auto"/>
        <w:jc w:val="both"/>
        <w:rPr>
          <w:rFonts w:ascii="Garamond" w:eastAsia="Times New Roman" w:hAnsi="Garamond"/>
          <w:b/>
          <w:bCs/>
          <w:highlight w:val="yellow"/>
          <w:lang w:eastAsia="en-GB"/>
        </w:rPr>
      </w:pPr>
    </w:p>
    <w:p w:rsidR="005E0219" w:rsidRPr="005559D2" w:rsidRDefault="00FE64D7" w:rsidP="005559D2">
      <w:pPr>
        <w:spacing w:line="276" w:lineRule="auto"/>
        <w:jc w:val="both"/>
        <w:rPr>
          <w:rFonts w:ascii="Garamond" w:eastAsia="Times New Roman" w:hAnsi="Garamond"/>
          <w:b/>
          <w:bCs/>
          <w:lang w:eastAsia="en-GB"/>
        </w:rPr>
      </w:pPr>
      <w:r>
        <w:rPr>
          <w:rFonts w:ascii="Garamond" w:eastAsia="Times New Roman" w:hAnsi="Garamond"/>
          <w:b/>
          <w:bCs/>
          <w:lang w:eastAsia="en-GB"/>
        </w:rPr>
        <w:t>Table A2</w:t>
      </w:r>
      <w:r w:rsidR="005E0219" w:rsidRPr="005559D2">
        <w:rPr>
          <w:rFonts w:ascii="Garamond" w:eastAsia="Times New Roman" w:hAnsi="Garamond"/>
          <w:b/>
          <w:bCs/>
          <w:lang w:eastAsia="en-GB"/>
        </w:rPr>
        <w:t>: Major Foreign Holders of US Treasury Securities (USD billion)</w:t>
      </w:r>
    </w:p>
    <w:tbl>
      <w:tblPr>
        <w:tblW w:w="9596" w:type="dxa"/>
        <w:tblInd w:w="108" w:type="dxa"/>
        <w:tblLook w:val="04A0" w:firstRow="1" w:lastRow="0" w:firstColumn="1" w:lastColumn="0" w:noHBand="0" w:noVBand="1"/>
      </w:tblPr>
      <w:tblGrid>
        <w:gridCol w:w="2550"/>
        <w:gridCol w:w="1794"/>
        <w:gridCol w:w="2536"/>
        <w:gridCol w:w="2716"/>
      </w:tblGrid>
      <w:tr w:rsidR="005E0219" w:rsidRPr="00577440" w:rsidTr="00577440">
        <w:trPr>
          <w:trHeight w:val="231"/>
        </w:trPr>
        <w:tc>
          <w:tcPr>
            <w:tcW w:w="2550" w:type="dxa"/>
            <w:vMerge w:val="restart"/>
            <w:tcBorders>
              <w:top w:val="single" w:sz="8" w:space="0" w:color="auto"/>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
                <w:bCs/>
                <w:sz w:val="22"/>
                <w:szCs w:val="22"/>
                <w:lang w:val="en-IN" w:eastAsia="en-GB"/>
              </w:rPr>
            </w:pPr>
            <w:r w:rsidRPr="00577440">
              <w:rPr>
                <w:rFonts w:ascii="Garamond" w:eastAsia="Times New Roman" w:hAnsi="Garamond"/>
                <w:b/>
                <w:bCs/>
                <w:sz w:val="22"/>
                <w:szCs w:val="22"/>
                <w:lang w:val="en-IN" w:eastAsia="en-GB"/>
              </w:rPr>
              <w:t>Country</w:t>
            </w:r>
          </w:p>
        </w:tc>
        <w:tc>
          <w:tcPr>
            <w:tcW w:w="179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
                <w:bCs/>
                <w:sz w:val="22"/>
                <w:szCs w:val="22"/>
                <w:lang w:val="en-IN" w:eastAsia="en-GB"/>
              </w:rPr>
            </w:pPr>
            <w:r w:rsidRPr="00577440">
              <w:rPr>
                <w:rFonts w:ascii="Garamond" w:eastAsia="Times New Roman" w:hAnsi="Garamond"/>
                <w:b/>
                <w:bCs/>
                <w:sz w:val="22"/>
                <w:szCs w:val="22"/>
                <w:lang w:val="en-IN" w:eastAsia="en-GB"/>
              </w:rPr>
              <w:t>Nov-21</w:t>
            </w:r>
          </w:p>
        </w:tc>
        <w:tc>
          <w:tcPr>
            <w:tcW w:w="52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
                <w:bCs/>
                <w:sz w:val="22"/>
                <w:szCs w:val="22"/>
                <w:lang w:val="en-IN" w:eastAsia="en-GB"/>
              </w:rPr>
            </w:pPr>
            <w:r w:rsidRPr="00577440">
              <w:rPr>
                <w:rFonts w:ascii="Garamond" w:eastAsia="Times New Roman" w:hAnsi="Garamond"/>
                <w:b/>
                <w:bCs/>
                <w:sz w:val="22"/>
                <w:szCs w:val="22"/>
                <w:lang w:val="en-IN" w:eastAsia="en-GB"/>
              </w:rPr>
              <w:t>Percentage change over Period</w:t>
            </w:r>
          </w:p>
        </w:tc>
      </w:tr>
      <w:tr w:rsidR="005E0219" w:rsidRPr="00577440" w:rsidTr="00577440">
        <w:trPr>
          <w:trHeight w:val="231"/>
        </w:trPr>
        <w:tc>
          <w:tcPr>
            <w:tcW w:w="2550" w:type="dxa"/>
            <w:vMerge/>
            <w:tcBorders>
              <w:top w:val="single" w:sz="8" w:space="0" w:color="auto"/>
              <w:left w:val="single" w:sz="8" w:space="0" w:color="auto"/>
              <w:bottom w:val="nil"/>
              <w:right w:val="nil"/>
            </w:tcBorders>
            <w:vAlign w:val="center"/>
            <w:hideMark/>
          </w:tcPr>
          <w:p w:rsidR="005E0219" w:rsidRPr="00577440" w:rsidRDefault="005E0219" w:rsidP="005559D2">
            <w:pPr>
              <w:spacing w:line="276" w:lineRule="auto"/>
              <w:jc w:val="both"/>
              <w:rPr>
                <w:rFonts w:ascii="Garamond" w:eastAsia="Times New Roman" w:hAnsi="Garamond"/>
                <w:b/>
                <w:bCs/>
                <w:sz w:val="22"/>
                <w:szCs w:val="22"/>
                <w:lang w:val="en-IN" w:eastAsia="en-GB"/>
              </w:rPr>
            </w:pPr>
          </w:p>
        </w:tc>
        <w:tc>
          <w:tcPr>
            <w:tcW w:w="1794" w:type="dxa"/>
            <w:vMerge/>
            <w:tcBorders>
              <w:top w:val="single" w:sz="8" w:space="0" w:color="auto"/>
              <w:left w:val="single" w:sz="8" w:space="0" w:color="auto"/>
              <w:bottom w:val="nil"/>
              <w:right w:val="single" w:sz="8" w:space="0" w:color="auto"/>
            </w:tcBorders>
            <w:vAlign w:val="center"/>
            <w:hideMark/>
          </w:tcPr>
          <w:p w:rsidR="005E0219" w:rsidRPr="00577440" w:rsidRDefault="005E0219" w:rsidP="005559D2">
            <w:pPr>
              <w:spacing w:line="276" w:lineRule="auto"/>
              <w:jc w:val="center"/>
              <w:rPr>
                <w:rFonts w:ascii="Garamond" w:eastAsia="Times New Roman" w:hAnsi="Garamond"/>
                <w:b/>
                <w:bCs/>
                <w:sz w:val="22"/>
                <w:szCs w:val="22"/>
                <w:lang w:val="en-IN" w:eastAsia="en-GB"/>
              </w:rPr>
            </w:pPr>
          </w:p>
        </w:tc>
        <w:tc>
          <w:tcPr>
            <w:tcW w:w="2536" w:type="dxa"/>
            <w:tcBorders>
              <w:top w:val="nil"/>
              <w:left w:val="nil"/>
              <w:bottom w:val="single" w:sz="8" w:space="0" w:color="auto"/>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
                <w:bCs/>
                <w:sz w:val="22"/>
                <w:szCs w:val="22"/>
                <w:lang w:val="en-IN" w:eastAsia="en-GB"/>
              </w:rPr>
            </w:pPr>
            <w:r w:rsidRPr="00577440">
              <w:rPr>
                <w:rFonts w:ascii="Garamond" w:eastAsia="Times New Roman" w:hAnsi="Garamond"/>
                <w:b/>
                <w:bCs/>
                <w:sz w:val="22"/>
                <w:szCs w:val="22"/>
                <w:lang w:val="en-IN" w:eastAsia="en-GB"/>
              </w:rPr>
              <w:t>1-Month</w:t>
            </w:r>
          </w:p>
        </w:tc>
        <w:tc>
          <w:tcPr>
            <w:tcW w:w="2716" w:type="dxa"/>
            <w:tcBorders>
              <w:top w:val="nil"/>
              <w:left w:val="single" w:sz="8" w:space="0" w:color="auto"/>
              <w:bottom w:val="single" w:sz="8" w:space="0" w:color="auto"/>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
                <w:bCs/>
                <w:sz w:val="22"/>
                <w:szCs w:val="22"/>
                <w:lang w:val="en-IN" w:eastAsia="en-GB"/>
              </w:rPr>
            </w:pPr>
            <w:r w:rsidRPr="00577440">
              <w:rPr>
                <w:rFonts w:ascii="Garamond" w:eastAsia="Times New Roman" w:hAnsi="Garamond"/>
                <w:b/>
                <w:bCs/>
                <w:sz w:val="22"/>
                <w:szCs w:val="22"/>
                <w:lang w:val="en-IN" w:eastAsia="en-GB"/>
              </w:rPr>
              <w:t>1-Year</w:t>
            </w:r>
          </w:p>
        </w:tc>
      </w:tr>
      <w:tr w:rsidR="005E0219" w:rsidRPr="00577440" w:rsidTr="00577440">
        <w:trPr>
          <w:trHeight w:val="219"/>
        </w:trPr>
        <w:tc>
          <w:tcPr>
            <w:tcW w:w="2550" w:type="dxa"/>
            <w:tcBorders>
              <w:top w:val="single" w:sz="8" w:space="0" w:color="auto"/>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val="en-IN" w:eastAsia="en-GB"/>
              </w:rPr>
            </w:pPr>
            <w:r w:rsidRPr="00577440">
              <w:rPr>
                <w:rFonts w:ascii="Garamond" w:eastAsia="Times New Roman" w:hAnsi="Garamond"/>
                <w:bCs/>
                <w:sz w:val="22"/>
                <w:szCs w:val="22"/>
                <w:lang w:eastAsia="en-GB"/>
              </w:rPr>
              <w:t>Japan</w:t>
            </w:r>
          </w:p>
        </w:tc>
        <w:tc>
          <w:tcPr>
            <w:tcW w:w="1794" w:type="dxa"/>
            <w:tcBorders>
              <w:top w:val="single" w:sz="8" w:space="0" w:color="auto"/>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1,341</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1.5</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6.3</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China, Mainland</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1,081</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1.7</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United Kingdom</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622</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7.2</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47.8</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Luxembourg</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334</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24.9</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Ireland</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331</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2.2</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Switzerland</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292</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0.8</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15.4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Cayman Islands</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266</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-1.6</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19.2</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Brazil</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249</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-5.1</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Taiwan</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248</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2.5</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11.7</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Hong Kong</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235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0.7</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5.0</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France</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228</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-4.8</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72.4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Belgium</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225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-6.5</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
                <w:bCs/>
                <w:sz w:val="22"/>
                <w:szCs w:val="22"/>
                <w:lang w:eastAsia="en-GB"/>
              </w:rPr>
            </w:pPr>
            <w:r w:rsidRPr="00577440">
              <w:rPr>
                <w:rFonts w:ascii="Garamond" w:eastAsia="Times New Roman" w:hAnsi="Garamond"/>
                <w:b/>
                <w:bCs/>
                <w:sz w:val="22"/>
                <w:szCs w:val="22"/>
                <w:lang w:eastAsia="en-GB"/>
              </w:rPr>
              <w:t>India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205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-2.6</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-6.8</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Canada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197</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54.9</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Singapore</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190</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0.9</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16.1</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Korea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133</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8.6</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Saudi Arabia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115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-1.3</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-16.4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Norway</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100</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-4.6</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12.6</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Germany</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82</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-1.9</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12.6</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Bermuda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72</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1.6</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-2.7</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Netherlands</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66</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-1.8</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Israel</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64</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-2.3</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12.8</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Thailand</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63</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6.3</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-23.3</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Poland</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0.9</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16.0</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Australia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2.0</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35.2</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Philippines</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50</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1.0</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3.5</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United Arab Emirates</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48</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-9.4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30.4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Mexico</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48</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-4.8</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-9.7</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Kuwait</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-2.2</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-2.4</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Italy</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44</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7.0</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Vietnam</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44</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-2.7</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37.3</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Sweden</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40</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0.5</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6.6</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Chile</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37</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-3.4</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31.8</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Colombia</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34</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-2.0</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8.8</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All Other</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508</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0.7</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0.1</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D5DCE4"/>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Grand Total</w:t>
            </w:r>
          </w:p>
        </w:tc>
        <w:tc>
          <w:tcPr>
            <w:tcW w:w="1794" w:type="dxa"/>
            <w:tcBorders>
              <w:top w:val="nil"/>
              <w:left w:val="nil"/>
              <w:bottom w:val="nil"/>
              <w:right w:val="nil"/>
            </w:tcBorders>
            <w:shd w:val="clear" w:color="auto" w:fill="D5DCE4"/>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7,748</w:t>
            </w:r>
          </w:p>
        </w:tc>
        <w:tc>
          <w:tcPr>
            <w:tcW w:w="2536" w:type="dxa"/>
            <w:tcBorders>
              <w:top w:val="nil"/>
              <w:left w:val="single" w:sz="8" w:space="0" w:color="auto"/>
              <w:bottom w:val="nil"/>
              <w:right w:val="nil"/>
            </w:tcBorders>
            <w:shd w:val="clear" w:color="auto" w:fill="D5DCE4"/>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1.2</w:t>
            </w:r>
          </w:p>
        </w:tc>
        <w:tc>
          <w:tcPr>
            <w:tcW w:w="2716" w:type="dxa"/>
            <w:tcBorders>
              <w:top w:val="nil"/>
              <w:left w:val="single" w:sz="8" w:space="0" w:color="auto"/>
              <w:bottom w:val="nil"/>
              <w:right w:val="single" w:sz="8" w:space="0" w:color="auto"/>
            </w:tcBorders>
            <w:shd w:val="clear" w:color="auto" w:fill="D5DCE4"/>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9.9</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lastRenderedPageBreak/>
              <w:t> </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Of which:</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For. Official</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4,215</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0.6</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0.9</w:t>
            </w:r>
          </w:p>
        </w:tc>
      </w:tr>
      <w:tr w:rsidR="005E0219" w:rsidRPr="00577440" w:rsidTr="00577440">
        <w:trPr>
          <w:trHeight w:val="219"/>
        </w:trPr>
        <w:tc>
          <w:tcPr>
            <w:tcW w:w="2550"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Treasury Bills</w:t>
            </w:r>
          </w:p>
        </w:tc>
        <w:tc>
          <w:tcPr>
            <w:tcW w:w="1794" w:type="dxa"/>
            <w:tcBorders>
              <w:top w:val="nil"/>
              <w:left w:val="nil"/>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249</w:t>
            </w:r>
          </w:p>
        </w:tc>
        <w:tc>
          <w:tcPr>
            <w:tcW w:w="2536" w:type="dxa"/>
            <w:tcBorders>
              <w:top w:val="nil"/>
              <w:left w:val="single" w:sz="8" w:space="0" w:color="auto"/>
              <w:bottom w:val="nil"/>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-3.5</w:t>
            </w:r>
          </w:p>
        </w:tc>
        <w:tc>
          <w:tcPr>
            <w:tcW w:w="2716" w:type="dxa"/>
            <w:tcBorders>
              <w:top w:val="nil"/>
              <w:left w:val="single" w:sz="8" w:space="0" w:color="auto"/>
              <w:bottom w:val="nil"/>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-33.0</w:t>
            </w:r>
          </w:p>
        </w:tc>
      </w:tr>
      <w:tr w:rsidR="005E0219" w:rsidRPr="00577440" w:rsidTr="00577440">
        <w:trPr>
          <w:trHeight w:val="231"/>
        </w:trPr>
        <w:tc>
          <w:tcPr>
            <w:tcW w:w="2550" w:type="dxa"/>
            <w:tcBorders>
              <w:top w:val="nil"/>
              <w:left w:val="single" w:sz="8" w:space="0" w:color="auto"/>
              <w:bottom w:val="single" w:sz="8" w:space="0" w:color="auto"/>
              <w:right w:val="single" w:sz="8" w:space="0" w:color="auto"/>
            </w:tcBorders>
            <w:shd w:val="clear" w:color="auto" w:fill="auto"/>
            <w:noWrap/>
            <w:vAlign w:val="center"/>
            <w:hideMark/>
          </w:tcPr>
          <w:p w:rsidR="005E0219" w:rsidRPr="00577440" w:rsidRDefault="005E0219" w:rsidP="005559D2">
            <w:pPr>
              <w:spacing w:line="276" w:lineRule="auto"/>
              <w:jc w:val="both"/>
              <w:rPr>
                <w:rFonts w:ascii="Garamond" w:eastAsia="Times New Roman" w:hAnsi="Garamond"/>
                <w:bCs/>
                <w:sz w:val="22"/>
                <w:szCs w:val="22"/>
                <w:lang w:eastAsia="en-GB"/>
              </w:rPr>
            </w:pPr>
            <w:r w:rsidRPr="00577440">
              <w:rPr>
                <w:rFonts w:ascii="Garamond" w:eastAsia="Times New Roman" w:hAnsi="Garamond"/>
                <w:bCs/>
                <w:sz w:val="22"/>
                <w:szCs w:val="22"/>
                <w:lang w:eastAsia="en-GB"/>
              </w:rPr>
              <w:t>T-Bonds &amp; Notes</w:t>
            </w:r>
          </w:p>
        </w:tc>
        <w:tc>
          <w:tcPr>
            <w:tcW w:w="1794" w:type="dxa"/>
            <w:tcBorders>
              <w:top w:val="nil"/>
              <w:left w:val="nil"/>
              <w:bottom w:val="single" w:sz="8" w:space="0" w:color="auto"/>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3,966</w:t>
            </w:r>
          </w:p>
        </w:tc>
        <w:tc>
          <w:tcPr>
            <w:tcW w:w="2536" w:type="dxa"/>
            <w:tcBorders>
              <w:top w:val="nil"/>
              <w:left w:val="single" w:sz="8" w:space="0" w:color="auto"/>
              <w:bottom w:val="single" w:sz="8" w:space="0" w:color="auto"/>
              <w:right w:val="nil"/>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0.9</w:t>
            </w:r>
          </w:p>
        </w:tc>
        <w:tc>
          <w:tcPr>
            <w:tcW w:w="2716" w:type="dxa"/>
            <w:tcBorders>
              <w:top w:val="nil"/>
              <w:left w:val="single" w:sz="8" w:space="0" w:color="auto"/>
              <w:bottom w:val="single" w:sz="8" w:space="0" w:color="auto"/>
              <w:right w:val="single" w:sz="8" w:space="0" w:color="auto"/>
            </w:tcBorders>
            <w:shd w:val="clear" w:color="auto" w:fill="auto"/>
            <w:noWrap/>
            <w:vAlign w:val="center"/>
            <w:hideMark/>
          </w:tcPr>
          <w:p w:rsidR="005E0219" w:rsidRPr="00577440" w:rsidRDefault="005E0219" w:rsidP="005559D2">
            <w:pPr>
              <w:spacing w:line="276" w:lineRule="auto"/>
              <w:jc w:val="center"/>
              <w:rPr>
                <w:rFonts w:ascii="Garamond" w:eastAsia="Times New Roman" w:hAnsi="Garamond"/>
                <w:bCs/>
                <w:sz w:val="22"/>
                <w:szCs w:val="22"/>
                <w:lang w:eastAsia="en-GB"/>
              </w:rPr>
            </w:pPr>
            <w:r w:rsidRPr="00577440">
              <w:rPr>
                <w:rFonts w:ascii="Garamond" w:eastAsia="Times New Roman" w:hAnsi="Garamond"/>
                <w:bCs/>
                <w:sz w:val="22"/>
                <w:szCs w:val="22"/>
                <w:lang w:eastAsia="en-GB"/>
              </w:rPr>
              <w:t>4.2</w:t>
            </w:r>
          </w:p>
        </w:tc>
      </w:tr>
    </w:tbl>
    <w:p w:rsidR="005E0219" w:rsidRPr="005559D2" w:rsidRDefault="005E0219" w:rsidP="005559D2">
      <w:pPr>
        <w:spacing w:line="276" w:lineRule="auto"/>
        <w:jc w:val="both"/>
        <w:rPr>
          <w:rFonts w:ascii="Garamond" w:eastAsia="Times New Roman" w:hAnsi="Garamond"/>
          <w:bCs/>
          <w:lang w:eastAsia="en-GB"/>
        </w:rPr>
      </w:pPr>
    </w:p>
    <w:p w:rsidR="005E0219" w:rsidRPr="00FE64D7" w:rsidRDefault="005E0219" w:rsidP="005559D2">
      <w:pPr>
        <w:spacing w:line="276" w:lineRule="auto"/>
        <w:jc w:val="both"/>
        <w:rPr>
          <w:rFonts w:ascii="Garamond" w:eastAsia="Times New Roman" w:hAnsi="Garamond"/>
          <w:bCs/>
          <w:lang w:eastAsia="en-GB"/>
        </w:rPr>
      </w:pPr>
      <w:r w:rsidRPr="005559D2">
        <w:rPr>
          <w:rFonts w:ascii="Garamond" w:eastAsia="Times New Roman" w:hAnsi="Garamond"/>
          <w:bCs/>
          <w:lang w:eastAsia="en-GB"/>
        </w:rPr>
        <w:t xml:space="preserve"> </w:t>
      </w:r>
      <w:r w:rsidRPr="00FE64D7">
        <w:rPr>
          <w:rFonts w:ascii="Garamond" w:eastAsia="Times New Roman" w:hAnsi="Garamond"/>
          <w:b/>
          <w:bCs/>
          <w:lang w:eastAsia="en-GB"/>
        </w:rPr>
        <w:t>Note</w:t>
      </w:r>
      <w:r w:rsidRPr="00FE64D7">
        <w:rPr>
          <w:rFonts w:ascii="Garamond" w:eastAsia="Times New Roman" w:hAnsi="Garamond"/>
          <w:bCs/>
          <w:lang w:eastAsia="en-GB"/>
        </w:rPr>
        <w:t xml:space="preserve">: </w:t>
      </w:r>
    </w:p>
    <w:p w:rsidR="00EE14C4" w:rsidRPr="00FE64D7" w:rsidRDefault="005E0219" w:rsidP="00EE14C4">
      <w:pPr>
        <w:numPr>
          <w:ilvl w:val="0"/>
          <w:numId w:val="31"/>
        </w:numPr>
        <w:spacing w:line="276" w:lineRule="auto"/>
        <w:jc w:val="both"/>
        <w:rPr>
          <w:rFonts w:ascii="Garamond" w:eastAsia="Times New Roman" w:hAnsi="Garamond"/>
          <w:bCs/>
          <w:lang w:val="en-US" w:eastAsia="en-GB"/>
        </w:rPr>
      </w:pPr>
      <w:r w:rsidRPr="00FE64D7">
        <w:rPr>
          <w:rFonts w:ascii="Garamond" w:eastAsia="Times New Roman" w:hAnsi="Garamond"/>
          <w:bCs/>
          <w:lang w:val="en-US" w:eastAsia="en-GB"/>
        </w:rPr>
        <w:t>Data available as on Jan 18, 2022</w:t>
      </w:r>
      <w:r w:rsidR="00EE14C4" w:rsidRPr="00FE64D7">
        <w:rPr>
          <w:rFonts w:ascii="Garamond" w:eastAsia="Times New Roman" w:hAnsi="Garamond"/>
          <w:bCs/>
          <w:lang w:val="en-US" w:eastAsia="en-GB"/>
        </w:rPr>
        <w:t>.</w:t>
      </w:r>
    </w:p>
    <w:p w:rsidR="00EE14C4" w:rsidRPr="00FE64D7" w:rsidRDefault="0018293F" w:rsidP="00EE14C4">
      <w:pPr>
        <w:numPr>
          <w:ilvl w:val="0"/>
          <w:numId w:val="31"/>
        </w:numPr>
        <w:spacing w:line="276" w:lineRule="auto"/>
        <w:jc w:val="both"/>
        <w:rPr>
          <w:rFonts w:ascii="Garamond" w:hAnsi="Garamond"/>
          <w:bCs/>
          <w:sz w:val="22"/>
          <w:szCs w:val="22"/>
          <w:lang w:val="en-US"/>
        </w:rPr>
      </w:pPr>
      <w:r w:rsidRPr="00FE64D7">
        <w:rPr>
          <w:rFonts w:ascii="Garamond" w:hAnsi="Garamond"/>
          <w:bCs/>
          <w:sz w:val="22"/>
          <w:szCs w:val="22"/>
          <w:lang w:val="en-US"/>
        </w:rPr>
        <w:t xml:space="preserve">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w:t>
      </w:r>
      <w:hyperlink r:id="rId37" w:history="1">
        <w:r w:rsidR="00EE14C4" w:rsidRPr="00FE64D7">
          <w:rPr>
            <w:rStyle w:val="Hyperlink"/>
            <w:rFonts w:ascii="Garamond" w:hAnsi="Garamond"/>
            <w:bCs/>
            <w:sz w:val="22"/>
            <w:szCs w:val="22"/>
            <w:lang w:val="en-US"/>
          </w:rPr>
          <w:t>http://www.treasury.gov/resource-center/data-chart-center/tic/Pages/ticfaq1.aspx</w:t>
        </w:r>
      </w:hyperlink>
      <w:r w:rsidRPr="00FE64D7">
        <w:rPr>
          <w:rFonts w:ascii="Garamond" w:hAnsi="Garamond"/>
          <w:bCs/>
          <w:sz w:val="22"/>
          <w:szCs w:val="22"/>
          <w:lang w:val="en-US"/>
        </w:rPr>
        <w:t>)</w:t>
      </w:r>
      <w:r w:rsidR="00EE14C4" w:rsidRPr="00FE64D7">
        <w:rPr>
          <w:rFonts w:ascii="Garamond" w:hAnsi="Garamond"/>
          <w:bCs/>
          <w:sz w:val="22"/>
          <w:szCs w:val="22"/>
          <w:lang w:val="en-US"/>
        </w:rPr>
        <w:t>.</w:t>
      </w:r>
    </w:p>
    <w:p w:rsidR="0018293F" w:rsidRPr="00FE64D7" w:rsidRDefault="0018293F" w:rsidP="00EE14C4">
      <w:pPr>
        <w:numPr>
          <w:ilvl w:val="0"/>
          <w:numId w:val="31"/>
        </w:numPr>
        <w:spacing w:line="276" w:lineRule="auto"/>
        <w:jc w:val="both"/>
        <w:rPr>
          <w:rFonts w:ascii="Garamond" w:hAnsi="Garamond"/>
          <w:bCs/>
          <w:sz w:val="22"/>
          <w:szCs w:val="22"/>
          <w:lang w:val="en-US"/>
        </w:rPr>
      </w:pPr>
      <w:r w:rsidRPr="00FE64D7">
        <w:rPr>
          <w:rFonts w:ascii="Garamond" w:hAnsi="Garamond"/>
          <w:bCs/>
          <w:sz w:val="22"/>
          <w:szCs w:val="22"/>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18293F" w:rsidRPr="00087232" w:rsidRDefault="0018293F" w:rsidP="0018293F">
      <w:pPr>
        <w:spacing w:line="23" w:lineRule="atLeast"/>
        <w:rPr>
          <w:rFonts w:ascii="Garamond" w:hAnsi="Garamond"/>
          <w:bCs/>
          <w:sz w:val="22"/>
          <w:szCs w:val="22"/>
        </w:rPr>
      </w:pPr>
      <w:r w:rsidRPr="00FE64D7">
        <w:rPr>
          <w:rFonts w:ascii="Garamond" w:hAnsi="Garamond"/>
          <w:b/>
          <w:sz w:val="22"/>
          <w:szCs w:val="22"/>
        </w:rPr>
        <w:t>Source</w:t>
      </w:r>
      <w:r w:rsidRPr="00FE64D7">
        <w:rPr>
          <w:rFonts w:ascii="Garamond" w:hAnsi="Garamond"/>
          <w:bCs/>
          <w:sz w:val="22"/>
          <w:szCs w:val="22"/>
        </w:rPr>
        <w:t>: Department of the Treasury/Federal Reserve Board</w:t>
      </w:r>
    </w:p>
    <w:p w:rsidR="0018293F" w:rsidRPr="000577B9" w:rsidRDefault="0018293F" w:rsidP="0018293F">
      <w:pPr>
        <w:spacing w:line="23" w:lineRule="atLeast"/>
        <w:rPr>
          <w:rFonts w:ascii="Garamond" w:hAnsi="Garamond"/>
          <w:bCs/>
        </w:rPr>
      </w:pPr>
    </w:p>
    <w:p w:rsidR="0018293F" w:rsidRDefault="0018293F"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EE14C4" w:rsidRDefault="00EE14C4" w:rsidP="0018293F">
      <w:pPr>
        <w:spacing w:line="23" w:lineRule="atLeast"/>
        <w:rPr>
          <w:rFonts w:ascii="Garamond" w:hAnsi="Garamond"/>
          <w:bCs/>
        </w:rPr>
      </w:pPr>
    </w:p>
    <w:p w:rsidR="00FE64D7" w:rsidRDefault="00FE64D7" w:rsidP="0018293F">
      <w:pPr>
        <w:spacing w:line="23" w:lineRule="atLeast"/>
        <w:rPr>
          <w:rFonts w:ascii="Garamond" w:hAnsi="Garamond"/>
          <w:bCs/>
        </w:rPr>
      </w:pPr>
    </w:p>
    <w:p w:rsidR="00FE64D7" w:rsidRDefault="00FE64D7" w:rsidP="0018293F">
      <w:pPr>
        <w:spacing w:line="23" w:lineRule="atLeast"/>
        <w:rPr>
          <w:rFonts w:ascii="Garamond" w:hAnsi="Garamond"/>
          <w:bCs/>
        </w:rPr>
      </w:pPr>
    </w:p>
    <w:p w:rsidR="00FE64D7" w:rsidRDefault="00FE64D7" w:rsidP="0018293F">
      <w:pPr>
        <w:spacing w:line="23" w:lineRule="atLeast"/>
        <w:rPr>
          <w:rFonts w:ascii="Garamond" w:hAnsi="Garamond"/>
          <w:bCs/>
        </w:rPr>
      </w:pPr>
    </w:p>
    <w:p w:rsidR="00FE64D7" w:rsidRDefault="00FE64D7" w:rsidP="0018293F">
      <w:pPr>
        <w:spacing w:line="23" w:lineRule="atLeast"/>
        <w:rPr>
          <w:rFonts w:ascii="Garamond" w:hAnsi="Garamond"/>
          <w:bCs/>
        </w:rPr>
      </w:pPr>
    </w:p>
    <w:p w:rsidR="005459F8" w:rsidRPr="000577B9" w:rsidRDefault="005459F8" w:rsidP="0018293F">
      <w:pPr>
        <w:spacing w:line="23" w:lineRule="atLeast"/>
        <w:rPr>
          <w:rFonts w:ascii="Garamond" w:hAnsi="Garamond"/>
          <w:bCs/>
        </w:rPr>
      </w:pPr>
    </w:p>
    <w:p w:rsidR="0018293F" w:rsidRPr="000577B9" w:rsidRDefault="0018293F" w:rsidP="0018293F">
      <w:pPr>
        <w:spacing w:line="23" w:lineRule="atLeast"/>
        <w:rPr>
          <w:rFonts w:ascii="Garamond" w:hAnsi="Garamond"/>
          <w:bCs/>
        </w:rPr>
      </w:pPr>
    </w:p>
    <w:p w:rsidR="0018293F" w:rsidRDefault="0018293F" w:rsidP="0018293F">
      <w:pPr>
        <w:spacing w:line="23" w:lineRule="atLeast"/>
        <w:jc w:val="both"/>
        <w:outlineLvl w:val="0"/>
        <w:rPr>
          <w:rFonts w:ascii="Garamond" w:hAnsi="Garamond"/>
          <w:b/>
          <w:bCs/>
        </w:rPr>
      </w:pPr>
      <w:r w:rsidRPr="000577B9">
        <w:rPr>
          <w:rFonts w:ascii="Garamond" w:hAnsi="Garamond"/>
          <w:b/>
          <w:bCs/>
        </w:rPr>
        <w:lastRenderedPageBreak/>
        <w:t xml:space="preserve">Table A3: List of select global exchanges </w:t>
      </w:r>
    </w:p>
    <w:p w:rsidR="00D0385D" w:rsidRDefault="00D0385D" w:rsidP="0018293F">
      <w:pPr>
        <w:spacing w:line="23" w:lineRule="atLeast"/>
        <w:jc w:val="both"/>
        <w:outlineLvl w:val="0"/>
        <w:rPr>
          <w:rFonts w:ascii="Garamond" w:hAnsi="Garamond"/>
          <w:b/>
          <w:bCs/>
        </w:rPr>
      </w:pPr>
    </w:p>
    <w:tbl>
      <w:tblPr>
        <w:tblW w:w="9781" w:type="dxa"/>
        <w:tblInd w:w="-10" w:type="dxa"/>
        <w:tblLook w:val="04A0" w:firstRow="1" w:lastRow="0" w:firstColumn="1" w:lastColumn="0" w:noHBand="0" w:noVBand="1"/>
      </w:tblPr>
      <w:tblGrid>
        <w:gridCol w:w="960"/>
        <w:gridCol w:w="4002"/>
        <w:gridCol w:w="1134"/>
        <w:gridCol w:w="3685"/>
      </w:tblGrid>
      <w:tr w:rsidR="00D0385D" w:rsidRPr="00966FBB" w:rsidTr="00D0385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b/>
                <w:bCs/>
                <w:color w:val="000000"/>
                <w:sz w:val="22"/>
                <w:szCs w:val="22"/>
                <w:lang w:val="en-US" w:bidi="hi-IN"/>
              </w:rPr>
            </w:pPr>
            <w:r w:rsidRPr="00D0385D">
              <w:rPr>
                <w:rFonts w:ascii="Garamond" w:eastAsia="Times New Roman" w:hAnsi="Garamond" w:cs="Calibri"/>
                <w:b/>
                <w:bCs/>
                <w:color w:val="000000"/>
                <w:sz w:val="22"/>
                <w:szCs w:val="22"/>
                <w:lang w:val="en-IN" w:bidi="hi-IN"/>
              </w:rPr>
              <w:t>S.No.</w:t>
            </w:r>
          </w:p>
        </w:tc>
        <w:tc>
          <w:tcPr>
            <w:tcW w:w="4002" w:type="dxa"/>
            <w:tcBorders>
              <w:top w:val="single" w:sz="8" w:space="0" w:color="auto"/>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b/>
                <w:bCs/>
                <w:color w:val="000000"/>
                <w:sz w:val="22"/>
                <w:szCs w:val="22"/>
                <w:lang w:val="en-US" w:bidi="hi-IN"/>
              </w:rPr>
            </w:pPr>
            <w:r w:rsidRPr="00D0385D">
              <w:rPr>
                <w:rFonts w:ascii="Garamond" w:eastAsia="Times New Roman" w:hAnsi="Garamond" w:cs="Calibri"/>
                <w:b/>
                <w:bCs/>
                <w:color w:val="000000"/>
                <w:sz w:val="22"/>
                <w:szCs w:val="22"/>
                <w:lang w:val="en-IN" w:bidi="hi-IN"/>
              </w:rPr>
              <w:t>Exchange</w:t>
            </w:r>
          </w:p>
        </w:tc>
        <w:tc>
          <w:tcPr>
            <w:tcW w:w="1134" w:type="dxa"/>
            <w:tcBorders>
              <w:top w:val="single" w:sz="8" w:space="0" w:color="auto"/>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b/>
                <w:bCs/>
                <w:color w:val="000000"/>
                <w:sz w:val="22"/>
                <w:szCs w:val="22"/>
                <w:lang w:val="en-US" w:bidi="hi-IN"/>
              </w:rPr>
            </w:pPr>
            <w:r w:rsidRPr="00D0385D">
              <w:rPr>
                <w:rFonts w:ascii="Garamond" w:eastAsia="Times New Roman" w:hAnsi="Garamond" w:cs="Calibri"/>
                <w:b/>
                <w:bCs/>
                <w:color w:val="000000"/>
                <w:sz w:val="22"/>
                <w:szCs w:val="22"/>
                <w:lang w:val="en-IN" w:bidi="hi-IN"/>
              </w:rPr>
              <w:t>S.No.</w:t>
            </w:r>
          </w:p>
        </w:tc>
        <w:tc>
          <w:tcPr>
            <w:tcW w:w="3685" w:type="dxa"/>
            <w:tcBorders>
              <w:top w:val="single" w:sz="8" w:space="0" w:color="auto"/>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b/>
                <w:bCs/>
                <w:color w:val="000000"/>
                <w:sz w:val="22"/>
                <w:szCs w:val="22"/>
                <w:lang w:val="en-US" w:bidi="hi-IN"/>
              </w:rPr>
            </w:pPr>
            <w:r w:rsidRPr="00D0385D">
              <w:rPr>
                <w:rFonts w:ascii="Garamond" w:eastAsia="Times New Roman" w:hAnsi="Garamond" w:cs="Calibri"/>
                <w:b/>
                <w:bCs/>
                <w:color w:val="000000"/>
                <w:sz w:val="22"/>
                <w:szCs w:val="22"/>
                <w:lang w:val="en-IN" w:bidi="hi-IN"/>
              </w:rPr>
              <w:t>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ASX Australian Securities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21</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London Metal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Athens Stock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22</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LSE Group London Stock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B3 - Brasil Bolsa Balcão</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23</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Matba Rofex</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4</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BME Spanish Exchanges</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24</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MIAX Exchange Group</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5</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Bolsa de Valores de Colombia</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25</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Moscow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6</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Bolsa Mexicana de Valores</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26</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Multi Commodity Exchange of India</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7</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Borsa Istanbul</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27</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Nasdaq - US</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8</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Budapest Stock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28</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Nasdaq Nordic and Baltics</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9</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Bursa Malaysia Derivatives</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29</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National Stock Exchange of India</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10</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Cboe Futures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30</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NZX Limited</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11</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Cboe Global Markets</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31</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Shanghai Futures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12</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China Financial Futures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32</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Singapore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13</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CME Group</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33</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Taiwan Futures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14</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Dalian Commodity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34</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Tehran Stock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15</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Deutsche Boerse AG</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35</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Tel-Aviv Stock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16</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Dubai Gold and Commodities Exchange</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36</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Thailand Futures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17</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Euronext</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37</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The Saint-Petersburg International Mercantile Exchange</w:t>
            </w:r>
          </w:p>
        </w:tc>
      </w:tr>
      <w:tr w:rsidR="00D0385D" w:rsidRPr="00966FBB"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18</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Hong Kong Exchanges and Clearing</w:t>
            </w:r>
          </w:p>
        </w:tc>
        <w:tc>
          <w:tcPr>
            <w:tcW w:w="1134"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38</w:t>
            </w:r>
          </w:p>
        </w:tc>
        <w:tc>
          <w:tcPr>
            <w:tcW w:w="3685"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Warsaw Stock Exchange</w:t>
            </w:r>
          </w:p>
        </w:tc>
      </w:tr>
      <w:tr w:rsidR="00D0385D" w:rsidRPr="00966FBB" w:rsidTr="006A6CB3">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19</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Japan Exchange Group</w:t>
            </w:r>
          </w:p>
        </w:tc>
        <w:tc>
          <w:tcPr>
            <w:tcW w:w="1134" w:type="dxa"/>
            <w:vMerge w:val="restart"/>
            <w:tcBorders>
              <w:top w:val="nil"/>
              <w:left w:val="nil"/>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39</w:t>
            </w:r>
          </w:p>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 </w:t>
            </w:r>
          </w:p>
        </w:tc>
        <w:tc>
          <w:tcPr>
            <w:tcW w:w="3685" w:type="dxa"/>
            <w:vMerge w:val="restart"/>
            <w:tcBorders>
              <w:top w:val="nil"/>
              <w:left w:val="nil"/>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Zhengzhou Commodity Exchange</w:t>
            </w:r>
          </w:p>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 </w:t>
            </w:r>
          </w:p>
        </w:tc>
      </w:tr>
      <w:tr w:rsidR="00D0385D" w:rsidRPr="00966FBB" w:rsidTr="006A6CB3">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D0385D" w:rsidRDefault="00D0385D" w:rsidP="00D0385D">
            <w:pPr>
              <w:jc w:val="cente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20</w:t>
            </w:r>
          </w:p>
        </w:tc>
        <w:tc>
          <w:tcPr>
            <w:tcW w:w="4002" w:type="dxa"/>
            <w:tcBorders>
              <w:top w:val="nil"/>
              <w:left w:val="nil"/>
              <w:bottom w:val="single" w:sz="8" w:space="0" w:color="auto"/>
              <w:right w:val="single" w:sz="8" w:space="0" w:color="auto"/>
            </w:tcBorders>
            <w:shd w:val="clear" w:color="auto" w:fill="auto"/>
            <w:noWrap/>
            <w:hideMark/>
          </w:tcPr>
          <w:p w:rsidR="00D0385D" w:rsidRPr="00D0385D" w:rsidRDefault="00D0385D" w:rsidP="00D0385D">
            <w:pPr>
              <w:rPr>
                <w:rFonts w:ascii="Garamond" w:eastAsia="Times New Roman" w:hAnsi="Garamond" w:cs="Calibri"/>
                <w:color w:val="000000"/>
                <w:sz w:val="22"/>
                <w:szCs w:val="22"/>
                <w:lang w:val="en-US" w:bidi="hi-IN"/>
              </w:rPr>
            </w:pPr>
            <w:r w:rsidRPr="00D0385D">
              <w:rPr>
                <w:rFonts w:ascii="Garamond" w:eastAsia="Times New Roman" w:hAnsi="Garamond" w:cs="Calibri"/>
                <w:color w:val="000000"/>
                <w:sz w:val="22"/>
                <w:szCs w:val="22"/>
                <w:lang w:val="en-IN" w:bidi="hi-IN"/>
              </w:rPr>
              <w:t>Korea Exchange</w:t>
            </w:r>
          </w:p>
        </w:tc>
        <w:tc>
          <w:tcPr>
            <w:tcW w:w="1134" w:type="dxa"/>
            <w:vMerge/>
            <w:tcBorders>
              <w:left w:val="nil"/>
              <w:bottom w:val="single" w:sz="8" w:space="0" w:color="auto"/>
              <w:right w:val="single" w:sz="8" w:space="0" w:color="auto"/>
            </w:tcBorders>
            <w:shd w:val="clear" w:color="auto" w:fill="auto"/>
            <w:hideMark/>
          </w:tcPr>
          <w:p w:rsidR="00D0385D" w:rsidRPr="00D0385D" w:rsidRDefault="00D0385D" w:rsidP="00D0385D">
            <w:pPr>
              <w:rPr>
                <w:rFonts w:ascii="Garamond" w:eastAsia="Times New Roman" w:hAnsi="Garamond" w:cs="Calibri"/>
                <w:color w:val="000000"/>
                <w:sz w:val="22"/>
                <w:szCs w:val="22"/>
                <w:lang w:val="en-US" w:bidi="hi-IN"/>
              </w:rPr>
            </w:pPr>
          </w:p>
        </w:tc>
        <w:tc>
          <w:tcPr>
            <w:tcW w:w="3685" w:type="dxa"/>
            <w:vMerge/>
            <w:tcBorders>
              <w:left w:val="nil"/>
              <w:bottom w:val="single" w:sz="8" w:space="0" w:color="auto"/>
              <w:right w:val="single" w:sz="8" w:space="0" w:color="auto"/>
            </w:tcBorders>
            <w:shd w:val="clear" w:color="auto" w:fill="auto"/>
            <w:hideMark/>
          </w:tcPr>
          <w:p w:rsidR="00D0385D" w:rsidRPr="00D0385D" w:rsidRDefault="00D0385D" w:rsidP="00D0385D">
            <w:pPr>
              <w:rPr>
                <w:rFonts w:ascii="Garamond" w:eastAsia="Times New Roman" w:hAnsi="Garamond" w:cs="Calibri"/>
                <w:color w:val="000000"/>
                <w:sz w:val="22"/>
                <w:szCs w:val="22"/>
                <w:lang w:val="en-US" w:bidi="hi-IN"/>
              </w:rPr>
            </w:pPr>
          </w:p>
        </w:tc>
      </w:tr>
    </w:tbl>
    <w:p w:rsidR="00D0385D" w:rsidRPr="000577B9" w:rsidRDefault="00D0385D" w:rsidP="0018293F">
      <w:pPr>
        <w:spacing w:line="23" w:lineRule="atLeast"/>
        <w:jc w:val="both"/>
        <w:outlineLvl w:val="0"/>
        <w:rPr>
          <w:rFonts w:ascii="Garamond" w:hAnsi="Garamond"/>
          <w:b/>
          <w:bCs/>
        </w:rPr>
      </w:pPr>
    </w:p>
    <w:p w:rsidR="0018293F" w:rsidRPr="000577B9" w:rsidRDefault="0018293F" w:rsidP="0018293F">
      <w:pPr>
        <w:spacing w:line="23" w:lineRule="atLeast"/>
        <w:jc w:val="both"/>
        <w:rPr>
          <w:rFonts w:ascii="Garamond" w:hAnsi="Garamond"/>
          <w:bCs/>
        </w:rPr>
      </w:pPr>
    </w:p>
    <w:p w:rsidR="0018293F" w:rsidRDefault="0018293F" w:rsidP="0018293F">
      <w:pPr>
        <w:spacing w:line="23" w:lineRule="atLeast"/>
        <w:jc w:val="both"/>
        <w:rPr>
          <w:rFonts w:ascii="Palatino Linotype" w:hAnsi="Palatino Linotype"/>
          <w:bCs/>
          <w:sz w:val="18"/>
          <w:szCs w:val="18"/>
        </w:rPr>
      </w:pPr>
    </w:p>
    <w:p w:rsidR="0018293F" w:rsidRDefault="0018293F" w:rsidP="0018293F">
      <w:pPr>
        <w:spacing w:line="23" w:lineRule="atLeast"/>
        <w:rPr>
          <w:rFonts w:ascii="Palatino Linotype" w:hAnsi="Palatino Linotype"/>
          <w:bCs/>
          <w:sz w:val="18"/>
          <w:szCs w:val="1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9D5D54">
      <w:pPr>
        <w:spacing w:line="23" w:lineRule="atLeast"/>
        <w:jc w:val="center"/>
        <w:rPr>
          <w:rFonts w:ascii="Palatino Linotype" w:hAnsi="Palatino Linotype" w:cs="Calibri"/>
          <w:b/>
          <w:sz w:val="28"/>
          <w:szCs w:val="28"/>
        </w:rPr>
      </w:pPr>
    </w:p>
    <w:p w:rsidR="003C2485" w:rsidRDefault="003C2485" w:rsidP="00D0385D">
      <w:pPr>
        <w:spacing w:line="23" w:lineRule="atLeast"/>
        <w:rPr>
          <w:rFonts w:ascii="Palatino Linotype" w:hAnsi="Palatino Linotype" w:cs="Calibri"/>
          <w:b/>
          <w:sz w:val="28"/>
          <w:szCs w:val="28"/>
        </w:rPr>
      </w:pPr>
    </w:p>
    <w:p w:rsidR="00D0385D" w:rsidRDefault="00D0385D" w:rsidP="00D0385D">
      <w:pPr>
        <w:spacing w:line="23" w:lineRule="atLeast"/>
        <w:rPr>
          <w:rFonts w:ascii="Palatino Linotype" w:hAnsi="Palatino Linotype" w:cs="Calibri"/>
          <w:b/>
          <w:sz w:val="28"/>
          <w:szCs w:val="28"/>
        </w:rPr>
      </w:pPr>
    </w:p>
    <w:p w:rsidR="00703A0B" w:rsidRPr="00966FBB" w:rsidRDefault="00703A0B" w:rsidP="009D5D54">
      <w:pPr>
        <w:spacing w:line="23" w:lineRule="atLeast"/>
        <w:jc w:val="center"/>
        <w:rPr>
          <w:rFonts w:ascii="Palatino Linotype" w:hAnsi="Palatino Linotype" w:cs="Calibri"/>
          <w:b/>
          <w:color w:val="1F4E79"/>
          <w:sz w:val="28"/>
          <w:szCs w:val="28"/>
        </w:rPr>
      </w:pPr>
    </w:p>
    <w:p w:rsidR="00703A0B" w:rsidRPr="00966FBB" w:rsidRDefault="00703A0B" w:rsidP="009D5D54">
      <w:pPr>
        <w:spacing w:line="23" w:lineRule="atLeast"/>
        <w:jc w:val="center"/>
        <w:rPr>
          <w:rFonts w:ascii="Palatino Linotype" w:hAnsi="Palatino Linotype" w:cs="Calibri"/>
          <w:b/>
          <w:color w:val="1F4E79"/>
          <w:sz w:val="28"/>
          <w:szCs w:val="28"/>
        </w:rPr>
      </w:pPr>
    </w:p>
    <w:p w:rsidR="000F236F" w:rsidRPr="00966FBB" w:rsidRDefault="000F236F" w:rsidP="009D5D54">
      <w:pPr>
        <w:spacing w:line="23" w:lineRule="atLeast"/>
        <w:jc w:val="center"/>
        <w:rPr>
          <w:rFonts w:ascii="Palatino Linotype" w:hAnsi="Palatino Linotype" w:cs="Calibri"/>
          <w:b/>
          <w:color w:val="1F4E79"/>
          <w:sz w:val="28"/>
          <w:szCs w:val="28"/>
        </w:rPr>
      </w:pPr>
      <w:r w:rsidRPr="00966FBB">
        <w:rPr>
          <w:rFonts w:ascii="Palatino Linotype" w:hAnsi="Palatino Linotype" w:cs="Calibri"/>
          <w:b/>
          <w:color w:val="1F4E79"/>
          <w:sz w:val="28"/>
          <w:szCs w:val="28"/>
        </w:rPr>
        <w:lastRenderedPageBreak/>
        <w:t>HIGHLIGHTS OF DEVELOPMENTS IN</w:t>
      </w:r>
    </w:p>
    <w:p w:rsidR="000F236F" w:rsidRPr="00966FBB" w:rsidRDefault="000F236F" w:rsidP="000E125F">
      <w:pPr>
        <w:jc w:val="center"/>
        <w:rPr>
          <w:rFonts w:ascii="Palatino Linotype" w:hAnsi="Palatino Linotype" w:cs="Calibri"/>
          <w:b/>
          <w:color w:val="1F4E79"/>
          <w:sz w:val="28"/>
          <w:szCs w:val="28"/>
        </w:rPr>
      </w:pPr>
      <w:r w:rsidRPr="00966FBB">
        <w:rPr>
          <w:rFonts w:ascii="Palatino Linotype" w:hAnsi="Palatino Linotype" w:cs="Calibri"/>
          <w:b/>
          <w:color w:val="1F4E79"/>
          <w:sz w:val="28"/>
          <w:szCs w:val="28"/>
        </w:rPr>
        <w:t>INTERNATIONAL SECURITIES MARKET</w:t>
      </w: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410EED" w:rsidRPr="00966FBB" w:rsidRDefault="00410EED" w:rsidP="004E40DA">
      <w:pPr>
        <w:pStyle w:val="Heading1"/>
        <w:keepNext w:val="0"/>
        <w:keepLines w:val="0"/>
        <w:numPr>
          <w:ilvl w:val="0"/>
          <w:numId w:val="17"/>
        </w:numPr>
        <w:shd w:val="clear" w:color="auto" w:fill="FFFFFF"/>
        <w:spacing w:after="150" w:line="240" w:lineRule="auto"/>
        <w:jc w:val="left"/>
        <w:textAlignment w:val="baseline"/>
        <w:rPr>
          <w:rFonts w:cs="Arial"/>
          <w:b/>
          <w:bCs w:val="0"/>
          <w:color w:val="000000"/>
          <w:szCs w:val="24"/>
        </w:rPr>
      </w:pPr>
      <w:r w:rsidRPr="00966FBB">
        <w:rPr>
          <w:rFonts w:cs="Arial"/>
          <w:b/>
          <w:bCs w:val="0"/>
          <w:color w:val="000000"/>
          <w:szCs w:val="24"/>
        </w:rPr>
        <w:t>Policy Developments at SEC, USA</w:t>
      </w:r>
    </w:p>
    <w:p w:rsidR="00410EED" w:rsidRPr="00966FBB" w:rsidRDefault="00410EED" w:rsidP="00410EED">
      <w:pPr>
        <w:pStyle w:val="Heading1"/>
        <w:shd w:val="clear" w:color="auto" w:fill="FFFFFF"/>
        <w:spacing w:after="150"/>
        <w:textAlignment w:val="baseline"/>
        <w:rPr>
          <w:rFonts w:cs="Arial"/>
          <w:bCs w:val="0"/>
          <w:color w:val="000000"/>
          <w:szCs w:val="24"/>
        </w:rPr>
      </w:pPr>
      <w:r w:rsidRPr="00966FBB">
        <w:rPr>
          <w:rFonts w:cs="Arial"/>
          <w:bCs w:val="0"/>
          <w:color w:val="000000"/>
          <w:szCs w:val="24"/>
        </w:rPr>
        <w:t>In December 2021, US SEC proposed various policy changes to its existing regulatory framework:</w:t>
      </w:r>
    </w:p>
    <w:p w:rsidR="00410EED" w:rsidRPr="00966FBB" w:rsidRDefault="00410EED" w:rsidP="004E40DA">
      <w:pPr>
        <w:pStyle w:val="ListParagraph"/>
        <w:numPr>
          <w:ilvl w:val="0"/>
          <w:numId w:val="16"/>
        </w:numPr>
        <w:shd w:val="clear" w:color="auto" w:fill="FFFFFF"/>
        <w:spacing w:after="150" w:line="240" w:lineRule="auto"/>
        <w:jc w:val="both"/>
        <w:textAlignment w:val="baseline"/>
        <w:outlineLvl w:val="0"/>
        <w:rPr>
          <w:rFonts w:ascii="Garamond" w:hAnsi="Garamond" w:cs="Vrinda"/>
          <w:color w:val="000000"/>
          <w:sz w:val="24"/>
          <w:szCs w:val="24"/>
          <w:shd w:val="clear" w:color="auto" w:fill="FFFFFF"/>
        </w:rPr>
      </w:pPr>
      <w:r w:rsidRPr="00966FBB">
        <w:rPr>
          <w:rFonts w:ascii="Garamond" w:hAnsi="Garamond" w:cs="Vrinda"/>
          <w:color w:val="000000"/>
          <w:sz w:val="24"/>
          <w:szCs w:val="24"/>
          <w:shd w:val="clear" w:color="auto" w:fill="FFFFFF"/>
        </w:rPr>
        <w:t xml:space="preserve">To enhance disclosure requirements and investor protections against insider trading SEC </w:t>
      </w:r>
      <w:r w:rsidRPr="00F92DFC">
        <w:rPr>
          <w:rFonts w:ascii="Garamond" w:hAnsi="Garamond"/>
          <w:color w:val="000000"/>
          <w:sz w:val="24"/>
          <w:szCs w:val="24"/>
          <w:shd w:val="clear" w:color="auto" w:fill="FFFFFF"/>
        </w:rPr>
        <w:t>has proposed</w:t>
      </w:r>
      <w:r w:rsidRPr="00966FBB">
        <w:rPr>
          <w:rFonts w:ascii="Garamond" w:hAnsi="Garamond" w:cs="Vrinda"/>
          <w:color w:val="000000"/>
          <w:sz w:val="24"/>
          <w:szCs w:val="24"/>
          <w:shd w:val="clear" w:color="auto" w:fill="FFFFFF"/>
        </w:rPr>
        <w:t xml:space="preserve"> amendments to Rule 10b5-1 under the Securities Exchange Act of 1934. The proposal would strengthen the requirements to access the affirmative defense to insider trading and improve related transparency around insider transactions in company securities.</w:t>
      </w:r>
    </w:p>
    <w:p w:rsidR="00410EED" w:rsidRPr="00AC6DB9" w:rsidRDefault="00410EED" w:rsidP="004E40DA">
      <w:pPr>
        <w:pStyle w:val="ListParagraph"/>
        <w:numPr>
          <w:ilvl w:val="0"/>
          <w:numId w:val="16"/>
        </w:numPr>
        <w:spacing w:after="160" w:line="259" w:lineRule="auto"/>
        <w:jc w:val="both"/>
        <w:rPr>
          <w:rFonts w:ascii="Garamond" w:hAnsi="Garamond"/>
          <w:color w:val="000000"/>
          <w:sz w:val="24"/>
          <w:szCs w:val="24"/>
          <w:shd w:val="clear" w:color="auto" w:fill="FFFFFF"/>
        </w:rPr>
      </w:pPr>
      <w:r w:rsidRPr="00AC6DB9">
        <w:rPr>
          <w:rFonts w:ascii="Garamond" w:hAnsi="Garamond"/>
          <w:color w:val="000000"/>
          <w:sz w:val="24"/>
          <w:szCs w:val="24"/>
          <w:shd w:val="clear" w:color="auto" w:fill="FFFFFF"/>
        </w:rPr>
        <w:t>Amendments have been proposed on its rules regarding disclosure about an issuer’s repurchases of its equity securities. This would enhance disclosures as it requires an issuer to disclose the objective or rationale for the share repurchases, process or criteria used to determine the repurchase amount etc.</w:t>
      </w:r>
    </w:p>
    <w:p w:rsidR="00410EED" w:rsidRPr="00966FBB" w:rsidRDefault="00410EED" w:rsidP="004E40DA">
      <w:pPr>
        <w:pStyle w:val="ListParagraph"/>
        <w:numPr>
          <w:ilvl w:val="0"/>
          <w:numId w:val="16"/>
        </w:numPr>
        <w:spacing w:after="160" w:line="259" w:lineRule="auto"/>
        <w:jc w:val="both"/>
        <w:rPr>
          <w:rFonts w:ascii="Garamond" w:hAnsi="Garamond" w:cs="Vrinda"/>
          <w:color w:val="000000"/>
          <w:sz w:val="24"/>
          <w:szCs w:val="24"/>
          <w:shd w:val="clear" w:color="auto" w:fill="FFFFFF"/>
        </w:rPr>
      </w:pPr>
      <w:r w:rsidRPr="00AC6DB9">
        <w:rPr>
          <w:rFonts w:ascii="Garamond" w:hAnsi="Garamond"/>
          <w:color w:val="000000"/>
          <w:sz w:val="24"/>
          <w:szCs w:val="24"/>
          <w:shd w:val="clear" w:color="auto" w:fill="FFFFFF"/>
        </w:rPr>
        <w:t>In order to i</w:t>
      </w:r>
      <w:r w:rsidRPr="00966FBB">
        <w:rPr>
          <w:rFonts w:ascii="Garamond" w:hAnsi="Garamond" w:cs="Vrinda"/>
          <w:color w:val="000000"/>
          <w:sz w:val="24"/>
          <w:szCs w:val="24"/>
          <w:shd w:val="clear" w:color="auto" w:fill="FFFFFF"/>
        </w:rPr>
        <w:t>mprove the resilience and transparency of money market funds</w:t>
      </w:r>
      <w:r w:rsidRPr="00AC6DB9">
        <w:rPr>
          <w:rFonts w:ascii="Garamond" w:hAnsi="Garamond"/>
          <w:color w:val="000000"/>
          <w:sz w:val="24"/>
          <w:szCs w:val="24"/>
          <w:shd w:val="clear" w:color="auto" w:fill="FFFFFF"/>
        </w:rPr>
        <w:t xml:space="preserve">, </w:t>
      </w:r>
      <w:r>
        <w:rPr>
          <w:rFonts w:ascii="Garamond" w:hAnsi="Garamond"/>
          <w:color w:val="000000"/>
          <w:sz w:val="24"/>
          <w:szCs w:val="24"/>
          <w:shd w:val="clear" w:color="auto" w:fill="FFFFFF"/>
        </w:rPr>
        <w:t>SEC has</w:t>
      </w:r>
      <w:r w:rsidRPr="00AC6DB9">
        <w:rPr>
          <w:rFonts w:ascii="Garamond" w:hAnsi="Garamond"/>
          <w:color w:val="000000"/>
          <w:sz w:val="24"/>
          <w:szCs w:val="24"/>
          <w:shd w:val="clear" w:color="auto" w:fill="FFFFFF"/>
        </w:rPr>
        <w:t xml:space="preserve"> proposed </w:t>
      </w:r>
      <w:r>
        <w:rPr>
          <w:rFonts w:ascii="Garamond" w:hAnsi="Garamond"/>
          <w:color w:val="000000"/>
          <w:sz w:val="24"/>
          <w:szCs w:val="24"/>
          <w:shd w:val="clear" w:color="auto" w:fill="FFFFFF"/>
        </w:rPr>
        <w:t xml:space="preserve">changes </w:t>
      </w:r>
      <w:r w:rsidRPr="00AC6DB9">
        <w:rPr>
          <w:rFonts w:ascii="Garamond" w:hAnsi="Garamond"/>
          <w:color w:val="000000"/>
          <w:sz w:val="24"/>
          <w:szCs w:val="24"/>
          <w:shd w:val="clear" w:color="auto" w:fill="FFFFFF"/>
        </w:rPr>
        <w:t xml:space="preserve">to </w:t>
      </w:r>
      <w:r>
        <w:rPr>
          <w:rFonts w:ascii="Garamond" w:hAnsi="Garamond"/>
          <w:color w:val="000000"/>
          <w:sz w:val="24"/>
          <w:szCs w:val="24"/>
          <w:shd w:val="clear" w:color="auto" w:fill="FFFFFF"/>
        </w:rPr>
        <w:t xml:space="preserve">its </w:t>
      </w:r>
      <w:r w:rsidRPr="00AC6DB9">
        <w:rPr>
          <w:rFonts w:ascii="Garamond" w:hAnsi="Garamond"/>
          <w:color w:val="000000"/>
          <w:sz w:val="24"/>
          <w:szCs w:val="24"/>
          <w:shd w:val="clear" w:color="auto" w:fill="FFFFFF"/>
        </w:rPr>
        <w:t xml:space="preserve">money market fund rules. The proposed changes are designed to reduce the likelihood of runs on money market funds during periods of stress and would also equip funds to better meet large redemptions, addressing concerns about redemption costs and liquidity. </w:t>
      </w:r>
    </w:p>
    <w:p w:rsidR="00410EED" w:rsidRDefault="00410EED" w:rsidP="00410EED">
      <w:pPr>
        <w:pStyle w:val="ListParagraph"/>
      </w:pPr>
    </w:p>
    <w:p w:rsidR="00410EED" w:rsidRPr="00966FBB" w:rsidRDefault="00410EED" w:rsidP="00410EED">
      <w:pPr>
        <w:pStyle w:val="ListParagraph"/>
        <w:rPr>
          <w:rFonts w:ascii="Garamond" w:eastAsia="Times New Roman" w:hAnsi="Garamond" w:cs="Arial"/>
          <w:color w:val="000000"/>
          <w:kern w:val="36"/>
          <w:sz w:val="24"/>
          <w:szCs w:val="24"/>
          <w:lang w:val="en-GB" w:bidi="hi-IN"/>
        </w:rPr>
      </w:pPr>
      <w:r w:rsidRPr="00966FBB">
        <w:rPr>
          <w:rFonts w:ascii="Garamond" w:eastAsia="Times New Roman" w:hAnsi="Garamond" w:cs="Arial"/>
          <w:color w:val="000000"/>
          <w:kern w:val="36"/>
          <w:sz w:val="24"/>
          <w:szCs w:val="24"/>
          <w:lang w:val="en-GB" w:bidi="hi-IN"/>
        </w:rPr>
        <w:t xml:space="preserve">Source:  </w:t>
      </w:r>
      <w:hyperlink r:id="rId38" w:history="1">
        <w:r w:rsidRPr="000402E1">
          <w:rPr>
            <w:rStyle w:val="Hyperlink"/>
            <w:rFonts w:ascii="Garamond" w:eastAsia="Times New Roman" w:hAnsi="Garamond" w:cs="Arial"/>
            <w:kern w:val="36"/>
            <w:sz w:val="24"/>
            <w:szCs w:val="24"/>
            <w:lang w:val="en-GB" w:bidi="hi-IN"/>
          </w:rPr>
          <w:t>https://www.sec.gov/news/pressreleases</w:t>
        </w:r>
      </w:hyperlink>
    </w:p>
    <w:p w:rsidR="00410EED" w:rsidRPr="00966FBB" w:rsidRDefault="00410EED" w:rsidP="004E40DA">
      <w:pPr>
        <w:pStyle w:val="Heading1"/>
        <w:keepNext w:val="0"/>
        <w:keepLines w:val="0"/>
        <w:numPr>
          <w:ilvl w:val="0"/>
          <w:numId w:val="17"/>
        </w:numPr>
        <w:shd w:val="clear" w:color="auto" w:fill="FFFFFF"/>
        <w:spacing w:after="150" w:line="240" w:lineRule="auto"/>
        <w:jc w:val="left"/>
        <w:textAlignment w:val="baseline"/>
        <w:rPr>
          <w:rFonts w:cs="Arial"/>
          <w:b/>
          <w:bCs w:val="0"/>
          <w:color w:val="000000"/>
          <w:szCs w:val="24"/>
        </w:rPr>
      </w:pPr>
      <w:r w:rsidRPr="00966FBB">
        <w:rPr>
          <w:rFonts w:cs="Arial"/>
          <w:b/>
          <w:bCs w:val="0"/>
          <w:color w:val="000000"/>
          <w:szCs w:val="24"/>
        </w:rPr>
        <w:t>Policy Developments at FCA, UK</w:t>
      </w:r>
    </w:p>
    <w:p w:rsidR="00410EED" w:rsidRPr="004620C3" w:rsidRDefault="00410EED" w:rsidP="004E40DA">
      <w:pPr>
        <w:pStyle w:val="ListParagraph"/>
        <w:numPr>
          <w:ilvl w:val="0"/>
          <w:numId w:val="18"/>
        </w:numPr>
        <w:spacing w:after="0" w:line="23" w:lineRule="atLeast"/>
        <w:jc w:val="both"/>
        <w:rPr>
          <w:rFonts w:ascii="Garamond" w:hAnsi="Garamond"/>
          <w:color w:val="000000"/>
          <w:sz w:val="24"/>
          <w:szCs w:val="24"/>
          <w:shd w:val="clear" w:color="auto" w:fill="FFFFFF"/>
        </w:rPr>
      </w:pPr>
      <w:r w:rsidRPr="00410EED">
        <w:rPr>
          <w:rFonts w:ascii="Garamond" w:hAnsi="Garamond"/>
          <w:color w:val="000000"/>
          <w:sz w:val="24"/>
          <w:szCs w:val="24"/>
          <w:shd w:val="clear" w:color="auto" w:fill="FFFFFF"/>
        </w:rPr>
        <w:t xml:space="preserve">Based on its primary market effectiveness review, FCA has </w:t>
      </w:r>
      <w:r>
        <w:rPr>
          <w:rFonts w:ascii="Garamond" w:hAnsi="Garamond"/>
          <w:color w:val="000000"/>
          <w:sz w:val="24"/>
          <w:szCs w:val="24"/>
          <w:shd w:val="clear" w:color="auto" w:fill="FFFFFF"/>
        </w:rPr>
        <w:t>confirmed final changes to its</w:t>
      </w:r>
      <w:r w:rsidRPr="00410EED">
        <w:rPr>
          <w:rFonts w:ascii="Garamond" w:hAnsi="Garamond"/>
          <w:color w:val="000000"/>
          <w:sz w:val="24"/>
          <w:szCs w:val="24"/>
          <w:shd w:val="clear" w:color="auto" w:fill="FFFFFF"/>
        </w:rPr>
        <w:t xml:space="preserve"> rules governing primary </w:t>
      </w:r>
      <w:r w:rsidRPr="004620C3">
        <w:rPr>
          <w:rFonts w:ascii="Garamond" w:hAnsi="Garamond"/>
          <w:color w:val="000000"/>
          <w:sz w:val="24"/>
          <w:szCs w:val="24"/>
          <w:shd w:val="clear" w:color="auto" w:fill="FFFFFF"/>
        </w:rPr>
        <w:t>markets</w:t>
      </w:r>
      <w:r w:rsidRPr="00410EED">
        <w:rPr>
          <w:rFonts w:ascii="Garamond" w:hAnsi="Garamond"/>
          <w:color w:val="000000"/>
          <w:sz w:val="24"/>
          <w:szCs w:val="24"/>
          <w:shd w:val="clear" w:color="auto" w:fill="FFFFFF"/>
        </w:rPr>
        <w:t xml:space="preserve">. </w:t>
      </w:r>
      <w:r>
        <w:rPr>
          <w:rFonts w:ascii="Garamond" w:hAnsi="Garamond"/>
          <w:color w:val="000000"/>
          <w:sz w:val="24"/>
          <w:szCs w:val="24"/>
          <w:shd w:val="clear" w:color="auto" w:fill="FFFFFF"/>
        </w:rPr>
        <w:t>The c</w:t>
      </w:r>
      <w:r w:rsidRPr="00410EED">
        <w:rPr>
          <w:rFonts w:ascii="Garamond" w:hAnsi="Garamond"/>
          <w:color w:val="000000"/>
          <w:sz w:val="24"/>
          <w:szCs w:val="24"/>
          <w:shd w:val="clear" w:color="auto" w:fill="FFFFFF"/>
        </w:rPr>
        <w:t>hanges aim to remove immediate barriers to listing, make the rulebooks more accessible and to protect and enhance market integrity</w:t>
      </w:r>
    </w:p>
    <w:p w:rsidR="00410EED" w:rsidRPr="004620C3" w:rsidRDefault="00410EED" w:rsidP="004E40DA">
      <w:pPr>
        <w:pStyle w:val="ListParagraph"/>
        <w:numPr>
          <w:ilvl w:val="0"/>
          <w:numId w:val="18"/>
        </w:numPr>
        <w:spacing w:after="0" w:line="23" w:lineRule="atLeast"/>
        <w:jc w:val="both"/>
        <w:rPr>
          <w:rFonts w:ascii="Garamond" w:hAnsi="Garamond"/>
          <w:color w:val="000000"/>
          <w:sz w:val="24"/>
          <w:szCs w:val="24"/>
          <w:shd w:val="clear" w:color="auto" w:fill="FFFFFF"/>
        </w:rPr>
      </w:pPr>
      <w:r w:rsidRPr="004620C3">
        <w:rPr>
          <w:rFonts w:ascii="Garamond" w:hAnsi="Garamond"/>
          <w:color w:val="000000"/>
          <w:sz w:val="24"/>
          <w:szCs w:val="24"/>
          <w:shd w:val="clear" w:color="auto" w:fill="FFFFFF"/>
        </w:rPr>
        <w:t>FCA has published a discussion paper on existing Financial Services Compensation Scheme (FSCS), which is the UK’s statutory 'fund of last resort’ for customers of authorised financial services firm. Increasing compensation costs in recent years have prompted questions about the fairness of FSCS levies and how the FSCS should be funded.</w:t>
      </w:r>
    </w:p>
    <w:p w:rsidR="00410EED" w:rsidRDefault="00410EED" w:rsidP="004E40DA">
      <w:pPr>
        <w:pStyle w:val="ListParagraph"/>
        <w:numPr>
          <w:ilvl w:val="0"/>
          <w:numId w:val="18"/>
        </w:numPr>
        <w:spacing w:after="0" w:line="23" w:lineRule="atLeast"/>
        <w:jc w:val="both"/>
        <w:rPr>
          <w:rFonts w:ascii="Garamond" w:hAnsi="Garamond"/>
          <w:color w:val="000000"/>
          <w:sz w:val="24"/>
          <w:szCs w:val="24"/>
          <w:shd w:val="clear" w:color="auto" w:fill="FFFFFF"/>
        </w:rPr>
      </w:pPr>
      <w:r w:rsidRPr="004620C3">
        <w:rPr>
          <w:rFonts w:ascii="Garamond" w:hAnsi="Garamond"/>
          <w:color w:val="000000"/>
          <w:sz w:val="24"/>
          <w:szCs w:val="24"/>
          <w:shd w:val="clear" w:color="auto" w:fill="FFFFFF"/>
        </w:rPr>
        <w:t xml:space="preserve">FCA has introduced </w:t>
      </w:r>
      <w:r>
        <w:rPr>
          <w:rFonts w:ascii="Garamond" w:hAnsi="Garamond"/>
          <w:color w:val="000000"/>
          <w:sz w:val="24"/>
          <w:szCs w:val="24"/>
          <w:shd w:val="clear" w:color="auto" w:fill="FFFFFF"/>
        </w:rPr>
        <w:t>n</w:t>
      </w:r>
      <w:r w:rsidRPr="004620C3">
        <w:rPr>
          <w:rFonts w:ascii="Garamond" w:hAnsi="Garamond"/>
          <w:color w:val="000000"/>
          <w:sz w:val="24"/>
          <w:szCs w:val="24"/>
          <w:shd w:val="clear" w:color="auto" w:fill="FFFFFF"/>
        </w:rPr>
        <w:t>ew Environmental, Social and Governance (ESG) sourcebook containing rules and guidance for asset managers and certain FCA-regulated asset owners to make disclosures consistent with the recommendations of the Taskforce on Climate-related Financial Disclosures (TCFD)</w:t>
      </w:r>
      <w:r>
        <w:rPr>
          <w:rFonts w:ascii="Garamond" w:hAnsi="Garamond"/>
          <w:color w:val="000000"/>
          <w:sz w:val="24"/>
          <w:szCs w:val="24"/>
          <w:shd w:val="clear" w:color="auto" w:fill="FFFFFF"/>
        </w:rPr>
        <w:t xml:space="preserve"> on an annual basis at entity level or product/portfolio level</w:t>
      </w:r>
    </w:p>
    <w:p w:rsidR="00410EED" w:rsidRDefault="00410EED" w:rsidP="004E40DA">
      <w:pPr>
        <w:pStyle w:val="ListParagraph"/>
        <w:numPr>
          <w:ilvl w:val="0"/>
          <w:numId w:val="18"/>
        </w:numPr>
        <w:spacing w:after="0" w:line="23" w:lineRule="atLeast"/>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 xml:space="preserve">FCA has extended </w:t>
      </w:r>
      <w:r w:rsidRPr="00410EED">
        <w:rPr>
          <w:rFonts w:ascii="Garamond" w:hAnsi="Garamond"/>
          <w:color w:val="000000"/>
          <w:sz w:val="24"/>
          <w:szCs w:val="24"/>
          <w:shd w:val="clear" w:color="auto" w:fill="FFFFFF"/>
        </w:rPr>
        <w:t>the application of climate-related disclosure requirements to issuers of standard listed shares and Global Depositary Receipts representing equity shares</w:t>
      </w:r>
      <w:r>
        <w:rPr>
          <w:rFonts w:ascii="Garamond" w:hAnsi="Garamond"/>
          <w:color w:val="000000"/>
          <w:sz w:val="24"/>
          <w:szCs w:val="24"/>
          <w:shd w:val="clear" w:color="auto" w:fill="FFFFFF"/>
        </w:rPr>
        <w:t>.</w:t>
      </w:r>
    </w:p>
    <w:p w:rsidR="00410EED" w:rsidRDefault="00410EED" w:rsidP="00410EED">
      <w:pPr>
        <w:pStyle w:val="ListParagraph"/>
        <w:spacing w:after="0" w:line="23" w:lineRule="atLeast"/>
        <w:jc w:val="both"/>
        <w:rPr>
          <w:rFonts w:ascii="Garamond" w:hAnsi="Garamond"/>
          <w:color w:val="000000"/>
          <w:sz w:val="24"/>
          <w:szCs w:val="24"/>
          <w:shd w:val="clear" w:color="auto" w:fill="FFFFFF"/>
        </w:rPr>
      </w:pPr>
    </w:p>
    <w:p w:rsidR="00410EED" w:rsidRDefault="00410EED" w:rsidP="00410EED">
      <w:pPr>
        <w:pStyle w:val="ListParagraph"/>
        <w:spacing w:after="0" w:line="23" w:lineRule="atLeast"/>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 xml:space="preserve">Source: </w:t>
      </w:r>
      <w:hyperlink r:id="rId39" w:history="1">
        <w:r w:rsidRPr="000402E1">
          <w:rPr>
            <w:rStyle w:val="Hyperlink"/>
            <w:rFonts w:ascii="Garamond" w:hAnsi="Garamond"/>
            <w:sz w:val="24"/>
            <w:szCs w:val="24"/>
            <w:shd w:val="clear" w:color="auto" w:fill="FFFFFF"/>
          </w:rPr>
          <w:t>https://www.fca.org.uk/</w:t>
        </w:r>
      </w:hyperlink>
    </w:p>
    <w:p w:rsidR="00410EED" w:rsidRPr="00966FBB" w:rsidRDefault="00410EED" w:rsidP="00410EED">
      <w:pPr>
        <w:spacing w:line="23" w:lineRule="atLeast"/>
        <w:rPr>
          <w:rFonts w:ascii="Palatino Linotype" w:hAnsi="Palatino Linotype" w:cs="Calibri"/>
          <w:b/>
          <w:color w:val="1F4E79"/>
          <w:sz w:val="28"/>
          <w:szCs w:val="28"/>
        </w:rPr>
      </w:pPr>
    </w:p>
    <w:p w:rsidR="00410EED" w:rsidRPr="00966FBB" w:rsidRDefault="00410EED" w:rsidP="004E40DA">
      <w:pPr>
        <w:pStyle w:val="Heading1"/>
        <w:keepNext w:val="0"/>
        <w:keepLines w:val="0"/>
        <w:numPr>
          <w:ilvl w:val="0"/>
          <w:numId w:val="17"/>
        </w:numPr>
        <w:shd w:val="clear" w:color="auto" w:fill="FFFFFF"/>
        <w:spacing w:after="150" w:line="240" w:lineRule="auto"/>
        <w:jc w:val="left"/>
        <w:textAlignment w:val="baseline"/>
        <w:rPr>
          <w:rFonts w:cs="Arial"/>
          <w:b/>
          <w:bCs w:val="0"/>
          <w:color w:val="000000"/>
          <w:szCs w:val="24"/>
        </w:rPr>
      </w:pPr>
      <w:r w:rsidRPr="00966FBB">
        <w:rPr>
          <w:rFonts w:cs="Arial"/>
          <w:b/>
          <w:bCs w:val="0"/>
          <w:color w:val="000000"/>
          <w:szCs w:val="24"/>
        </w:rPr>
        <w:t>IOSCO consultation on use of innovation facilitators</w:t>
      </w:r>
    </w:p>
    <w:p w:rsidR="00410EED" w:rsidRPr="00966FBB" w:rsidRDefault="00410EED" w:rsidP="00410EED">
      <w:pPr>
        <w:spacing w:line="23" w:lineRule="atLeast"/>
        <w:jc w:val="both"/>
        <w:rPr>
          <w:rFonts w:ascii="Garamond" w:eastAsia="Times New Roman" w:hAnsi="Garamond" w:cs="Arial"/>
          <w:color w:val="000000"/>
          <w:kern w:val="36"/>
          <w:lang w:bidi="hi-IN"/>
        </w:rPr>
      </w:pPr>
    </w:p>
    <w:p w:rsidR="00410EED" w:rsidRPr="00966FBB" w:rsidRDefault="00410EED" w:rsidP="00410EED">
      <w:pPr>
        <w:spacing w:line="23" w:lineRule="atLeast"/>
        <w:jc w:val="both"/>
        <w:rPr>
          <w:rFonts w:ascii="Garamond" w:eastAsia="Times New Roman" w:hAnsi="Garamond" w:cs="Arial"/>
          <w:color w:val="000000"/>
          <w:kern w:val="36"/>
          <w:lang w:bidi="hi-IN"/>
        </w:rPr>
      </w:pPr>
      <w:r w:rsidRPr="00966FBB">
        <w:rPr>
          <w:rFonts w:ascii="Garamond" w:eastAsia="Times New Roman" w:hAnsi="Garamond" w:cs="Arial"/>
          <w:color w:val="000000"/>
          <w:kern w:val="36"/>
          <w:lang w:bidi="hi-IN"/>
        </w:rPr>
        <w:t>IOSCO Growth and Emerging Markets Committee is consulting on its recommendations related to the use of innovation facilitators. The report covers three types of innovation facilitators: innovation hubs, regulatory sandboxes, and regulatory accelerators. The Consultation Report proposes four recommendations for emerging market member jurisdictions to consider when setting up innovation facilitators. The report also includes a decision tree for regulators to consider when looking at establishing an innovation facilitator and assessing what type of innovation facilitator to set up.</w:t>
      </w:r>
    </w:p>
    <w:p w:rsidR="00D428DD" w:rsidRPr="00966FBB" w:rsidRDefault="00D428DD" w:rsidP="00D428DD">
      <w:pPr>
        <w:spacing w:after="160" w:line="259" w:lineRule="auto"/>
        <w:jc w:val="both"/>
        <w:rPr>
          <w:rFonts w:ascii="Garamond" w:hAnsi="Garamond" w:cs="Vrinda"/>
          <w:lang w:val="en-US"/>
        </w:rPr>
      </w:pPr>
    </w:p>
    <w:p w:rsidR="00EA32C3" w:rsidRDefault="00410EED" w:rsidP="00410EED">
      <w:pPr>
        <w:pStyle w:val="ListParagraph"/>
        <w:spacing w:after="0" w:line="23" w:lineRule="atLeast"/>
        <w:jc w:val="both"/>
        <w:rPr>
          <w:rFonts w:ascii="Garamond" w:hAnsi="Garamond"/>
          <w:color w:val="000000"/>
          <w:sz w:val="24"/>
          <w:szCs w:val="24"/>
          <w:shd w:val="clear" w:color="auto" w:fill="FFFFFF"/>
        </w:rPr>
      </w:pPr>
      <w:r w:rsidRPr="00410EED">
        <w:rPr>
          <w:rFonts w:ascii="Garamond" w:hAnsi="Garamond"/>
          <w:color w:val="000000"/>
          <w:sz w:val="24"/>
          <w:szCs w:val="24"/>
          <w:shd w:val="clear" w:color="auto" w:fill="FFFFFF"/>
        </w:rPr>
        <w:t xml:space="preserve">Source: </w:t>
      </w:r>
      <w:hyperlink r:id="rId40" w:history="1">
        <w:r w:rsidRPr="00410EED">
          <w:rPr>
            <w:rFonts w:ascii="Garamond" w:hAnsi="Garamond"/>
            <w:color w:val="000000"/>
            <w:sz w:val="24"/>
            <w:szCs w:val="24"/>
            <w:shd w:val="clear" w:color="auto" w:fill="FFFFFF"/>
          </w:rPr>
          <w:t>https://www.iosco.org/news/pdf/IOSCONEWS629.pdf</w:t>
        </w:r>
      </w:hyperlink>
    </w:p>
    <w:p w:rsidR="00272724" w:rsidRPr="00966FBB" w:rsidRDefault="00272724" w:rsidP="00847023">
      <w:pPr>
        <w:jc w:val="center"/>
        <w:rPr>
          <w:rFonts w:ascii="Garamond" w:hAnsi="Garamond" w:cs="Calibri"/>
          <w:b/>
          <w:color w:val="1F4E79"/>
          <w:sz w:val="28"/>
          <w:szCs w:val="28"/>
        </w:rPr>
      </w:pPr>
      <w:r w:rsidRPr="00966FBB">
        <w:rPr>
          <w:rFonts w:ascii="Garamond" w:hAnsi="Garamond" w:cs="Calibri"/>
          <w:b/>
          <w:color w:val="1F4E79"/>
          <w:sz w:val="28"/>
          <w:szCs w:val="28"/>
        </w:rPr>
        <w:lastRenderedPageBreak/>
        <w:t xml:space="preserve">POLICY DEVELOPMENTS </w:t>
      </w:r>
      <w:r w:rsidR="00B522A6" w:rsidRPr="00966FBB">
        <w:rPr>
          <w:rFonts w:ascii="Garamond" w:hAnsi="Garamond" w:cs="Calibri"/>
          <w:b/>
          <w:color w:val="1F4E79"/>
          <w:sz w:val="28"/>
          <w:szCs w:val="28"/>
        </w:rPr>
        <w:t>IN INDIAN SECURITIES MARKET</w:t>
      </w:r>
    </w:p>
    <w:p w:rsidR="00272724" w:rsidRPr="00836FD4" w:rsidRDefault="00272724" w:rsidP="00272724">
      <w:pPr>
        <w:shd w:val="clear" w:color="auto" w:fill="FFFFFF"/>
        <w:spacing w:line="276" w:lineRule="auto"/>
        <w:jc w:val="both"/>
        <w:rPr>
          <w:rFonts w:ascii="Garamond" w:hAnsi="Garamond"/>
          <w:color w:val="000000"/>
        </w:rPr>
      </w:pPr>
    </w:p>
    <w:p w:rsidR="003F1032" w:rsidRDefault="003F1032" w:rsidP="004E40DA">
      <w:pPr>
        <w:pStyle w:val="ListParagraph"/>
        <w:numPr>
          <w:ilvl w:val="0"/>
          <w:numId w:val="15"/>
        </w:numPr>
        <w:spacing w:after="160" w:line="259" w:lineRule="auto"/>
        <w:rPr>
          <w:rFonts w:ascii="Garamond" w:hAnsi="Garamond"/>
          <w:b/>
          <w:bCs/>
          <w:sz w:val="24"/>
          <w:szCs w:val="24"/>
        </w:rPr>
      </w:pPr>
      <w:r w:rsidRPr="00B47C7D">
        <w:rPr>
          <w:rFonts w:ascii="Garamond" w:hAnsi="Garamond"/>
          <w:b/>
          <w:bCs/>
          <w:sz w:val="24"/>
          <w:szCs w:val="24"/>
        </w:rPr>
        <w:t>Publishing Investor Charter and disclosure of investor complaints by stock brokers on their websites</w:t>
      </w:r>
    </w:p>
    <w:p w:rsidR="003F1032" w:rsidRPr="003F1032" w:rsidRDefault="003F1032" w:rsidP="004D561B">
      <w:pPr>
        <w:spacing w:after="160" w:line="259" w:lineRule="auto"/>
        <w:jc w:val="both"/>
        <w:rPr>
          <w:rFonts w:ascii="Garamond" w:hAnsi="Garamond"/>
        </w:rPr>
      </w:pPr>
      <w:r w:rsidRPr="003F1032">
        <w:rPr>
          <w:rFonts w:ascii="Garamond" w:hAnsi="Garamond"/>
        </w:rPr>
        <w:t xml:space="preserve">Stock exchanges are directed to advise stock brokers to bring the investor charter for stock brokers to the notice of their clients (existing as well as new clients) </w:t>
      </w:r>
      <w:r w:rsidR="004D561B">
        <w:rPr>
          <w:rFonts w:ascii="Garamond" w:hAnsi="Garamond"/>
        </w:rPr>
        <w:t xml:space="preserve">by </w:t>
      </w:r>
      <w:r w:rsidRPr="003F1032">
        <w:rPr>
          <w:rFonts w:ascii="Garamond" w:hAnsi="Garamond"/>
        </w:rPr>
        <w:t xml:space="preserve">disclosing it on their respective websites, making </w:t>
      </w:r>
      <w:r w:rsidR="004D561B">
        <w:rPr>
          <w:rFonts w:ascii="Garamond" w:hAnsi="Garamond"/>
        </w:rPr>
        <w:t>it</w:t>
      </w:r>
      <w:r w:rsidRPr="003F1032">
        <w:rPr>
          <w:rFonts w:ascii="Garamond" w:hAnsi="Garamond"/>
        </w:rPr>
        <w:t xml:space="preserve"> available at prominent places in the</w:t>
      </w:r>
      <w:r w:rsidR="004D561B">
        <w:rPr>
          <w:rFonts w:ascii="Garamond" w:hAnsi="Garamond"/>
        </w:rPr>
        <w:t>ir</w:t>
      </w:r>
      <w:r w:rsidRPr="003F1032">
        <w:rPr>
          <w:rFonts w:ascii="Garamond" w:hAnsi="Garamond"/>
        </w:rPr>
        <w:t xml:space="preserve"> office</w:t>
      </w:r>
      <w:r w:rsidR="004D561B">
        <w:rPr>
          <w:rFonts w:ascii="Garamond" w:hAnsi="Garamond"/>
        </w:rPr>
        <w:t>s</w:t>
      </w:r>
      <w:r w:rsidRPr="003F1032">
        <w:rPr>
          <w:rFonts w:ascii="Garamond" w:hAnsi="Garamond"/>
        </w:rPr>
        <w:t xml:space="preserve">, </w:t>
      </w:r>
      <w:r w:rsidR="004D561B">
        <w:rPr>
          <w:rFonts w:ascii="Garamond" w:hAnsi="Garamond"/>
        </w:rPr>
        <w:t xml:space="preserve">by </w:t>
      </w:r>
      <w:r w:rsidRPr="003F1032">
        <w:rPr>
          <w:rFonts w:ascii="Garamond" w:hAnsi="Garamond"/>
        </w:rPr>
        <w:t>provid</w:t>
      </w:r>
      <w:r w:rsidR="004D561B">
        <w:rPr>
          <w:rFonts w:ascii="Garamond" w:hAnsi="Garamond"/>
        </w:rPr>
        <w:t>ing</w:t>
      </w:r>
      <w:r w:rsidRPr="003F1032">
        <w:rPr>
          <w:rFonts w:ascii="Garamond" w:hAnsi="Garamond"/>
        </w:rPr>
        <w:t xml:space="preserve"> a copy of the same as a part of account opening kit to the clients, through e-mails/ letters etc. All the stock brokers shall also disclose on their respective websites, the data on complaints received against them or against issues dealt by them and redressal thereof, latest by 7th of succeeding month.</w:t>
      </w:r>
    </w:p>
    <w:p w:rsidR="003F1032" w:rsidRDefault="003F1032" w:rsidP="003F1032">
      <w:pPr>
        <w:spacing w:after="160" w:line="259" w:lineRule="auto"/>
        <w:rPr>
          <w:rFonts w:ascii="Garamond" w:hAnsi="Garamond"/>
          <w:i/>
          <w:iCs/>
        </w:rPr>
      </w:pPr>
      <w:r w:rsidRPr="003F1032">
        <w:rPr>
          <w:rFonts w:ascii="Garamond" w:hAnsi="Garamond"/>
          <w:i/>
          <w:iCs/>
        </w:rPr>
        <w:t>Ref: SEBI/HO/MIRSD/DOP/P/CIR/2021/676 dated December 02, 2021</w:t>
      </w:r>
    </w:p>
    <w:p w:rsidR="003F1032" w:rsidRDefault="003F1032" w:rsidP="004E40DA">
      <w:pPr>
        <w:pStyle w:val="ListParagraph"/>
        <w:numPr>
          <w:ilvl w:val="0"/>
          <w:numId w:val="15"/>
        </w:numPr>
        <w:rPr>
          <w:rFonts w:ascii="Garamond" w:hAnsi="Garamond"/>
          <w:b/>
          <w:bCs/>
          <w:sz w:val="24"/>
          <w:szCs w:val="24"/>
        </w:rPr>
      </w:pPr>
      <w:r w:rsidRPr="003F1032">
        <w:rPr>
          <w:rFonts w:ascii="Garamond" w:hAnsi="Garamond"/>
          <w:b/>
          <w:bCs/>
          <w:sz w:val="24"/>
          <w:szCs w:val="24"/>
        </w:rPr>
        <w:t>Transaction  in  Corporate  Bonds  through Request  for  Quote platform by Portfolio Management Services (PMS)</w:t>
      </w:r>
    </w:p>
    <w:p w:rsidR="003F1032" w:rsidRPr="003F1032" w:rsidRDefault="003F1032" w:rsidP="004D561B">
      <w:pPr>
        <w:jc w:val="both"/>
        <w:rPr>
          <w:rFonts w:ascii="Garamond" w:hAnsi="Garamond"/>
        </w:rPr>
      </w:pPr>
      <w:r w:rsidRPr="003F1032">
        <w:rPr>
          <w:rFonts w:ascii="Garamond" w:hAnsi="Garamond"/>
        </w:rPr>
        <w:t xml:space="preserve">In order to enhance transparency pertaining to debt investments by Portfolio Management Services (PMS) in Corporate Bonds(CBs) and to increase liquidity on exchange platform, it is decided that on  a  monthly  basis, PMS  shall  undertake  at  least  10%  of  their  total  secondary market trades by value in CBs by placing/seeking quotes through one-to-one  (OTO)  or one-to-many (OTM) mode on the  Request  for  Quote  platform  of stock exchanges (RFQ). All transactions in CBs wherein PMS is on both sides of the trade shall be executed through RFQ in OTO mode. </w:t>
      </w:r>
    </w:p>
    <w:p w:rsidR="003F1032" w:rsidRDefault="003F1032" w:rsidP="003F1032">
      <w:pPr>
        <w:rPr>
          <w:rFonts w:ascii="Garamond" w:hAnsi="Garamond"/>
          <w:i/>
          <w:iCs/>
        </w:rPr>
      </w:pPr>
      <w:r w:rsidRPr="003F1032">
        <w:rPr>
          <w:rFonts w:ascii="Garamond" w:hAnsi="Garamond"/>
          <w:i/>
          <w:iCs/>
        </w:rPr>
        <w:t>Source: SEBI/HO/IMD/IMD-I/DOF1/P/CIR/2021/678 dated December 09, 2021.</w:t>
      </w:r>
    </w:p>
    <w:p w:rsidR="003F1032" w:rsidRPr="003F1032" w:rsidRDefault="003F1032" w:rsidP="003F1032">
      <w:pPr>
        <w:rPr>
          <w:rFonts w:ascii="Garamond" w:hAnsi="Garamond"/>
          <w:b/>
          <w:bCs/>
        </w:rPr>
      </w:pPr>
    </w:p>
    <w:p w:rsidR="003F1032" w:rsidRPr="003F1032" w:rsidRDefault="003F1032" w:rsidP="004E40DA">
      <w:pPr>
        <w:pStyle w:val="ListParagraph"/>
        <w:numPr>
          <w:ilvl w:val="0"/>
          <w:numId w:val="15"/>
        </w:numPr>
        <w:rPr>
          <w:rFonts w:ascii="Garamond" w:hAnsi="Garamond"/>
          <w:b/>
          <w:bCs/>
          <w:sz w:val="24"/>
          <w:szCs w:val="24"/>
        </w:rPr>
      </w:pPr>
      <w:r w:rsidRPr="003F1032">
        <w:rPr>
          <w:rFonts w:ascii="Garamond" w:hAnsi="Garamond"/>
          <w:b/>
          <w:bCs/>
          <w:sz w:val="24"/>
          <w:szCs w:val="24"/>
        </w:rPr>
        <w:t>Clarification regarding amendment to SEBI (Portfolio Managers) Regulations, 2020</w:t>
      </w:r>
    </w:p>
    <w:p w:rsidR="003F1032" w:rsidRDefault="003F1032" w:rsidP="004D561B">
      <w:pPr>
        <w:jc w:val="both"/>
        <w:rPr>
          <w:rFonts w:ascii="Garamond" w:hAnsi="Garamond"/>
        </w:rPr>
      </w:pPr>
      <w:r w:rsidRPr="003F1032">
        <w:rPr>
          <w:rFonts w:ascii="Garamond" w:hAnsi="Garamond"/>
        </w:rPr>
        <w:t>SEBI (Portfolio Managers) Regulations, 2021 were amended vide notification dated November 09, 2021, to facilitate co-investment by investors of AIF through the portfolio management route. Accordingly, the present circular has provided specifications related to procedure for undertaking of co-investment portfolio management services, periodic reporting by portfolio managers, fees and charges and direct on-boarding of clients by portfolio managers.</w:t>
      </w:r>
    </w:p>
    <w:p w:rsidR="003F1032" w:rsidRDefault="003F1032" w:rsidP="003F1032">
      <w:pPr>
        <w:rPr>
          <w:rFonts w:ascii="Garamond" w:hAnsi="Garamond"/>
          <w:i/>
          <w:iCs/>
        </w:rPr>
      </w:pPr>
      <w:r w:rsidRPr="003F1032">
        <w:rPr>
          <w:rFonts w:ascii="Garamond" w:hAnsi="Garamond"/>
          <w:i/>
          <w:iCs/>
        </w:rPr>
        <w:t>Source: SEBI/HO/IMD/IMD-I/DOF1/P/CIR/2021/0000000679 dated December 10, 2021.</w:t>
      </w:r>
    </w:p>
    <w:p w:rsidR="003F1032" w:rsidRDefault="003F1032" w:rsidP="003F1032">
      <w:pPr>
        <w:rPr>
          <w:rFonts w:ascii="Garamond" w:hAnsi="Garamond"/>
          <w:i/>
          <w:iCs/>
        </w:rPr>
      </w:pPr>
    </w:p>
    <w:p w:rsidR="003F1032" w:rsidRPr="003F1032" w:rsidRDefault="003F1032" w:rsidP="004E40DA">
      <w:pPr>
        <w:pStyle w:val="ListParagraph"/>
        <w:numPr>
          <w:ilvl w:val="0"/>
          <w:numId w:val="15"/>
        </w:numPr>
        <w:rPr>
          <w:rFonts w:ascii="Garamond" w:hAnsi="Garamond"/>
          <w:b/>
          <w:bCs/>
          <w:sz w:val="24"/>
          <w:szCs w:val="24"/>
        </w:rPr>
      </w:pPr>
      <w:r w:rsidRPr="003F1032">
        <w:rPr>
          <w:rFonts w:ascii="Garamond" w:hAnsi="Garamond"/>
          <w:b/>
          <w:bCs/>
          <w:sz w:val="24"/>
          <w:szCs w:val="24"/>
        </w:rPr>
        <w:t>Circular on Mutual Funds</w:t>
      </w:r>
    </w:p>
    <w:p w:rsidR="003F1032" w:rsidRPr="003F1032" w:rsidRDefault="003F1032" w:rsidP="004D561B">
      <w:pPr>
        <w:jc w:val="both"/>
        <w:rPr>
          <w:rFonts w:ascii="Garamond" w:hAnsi="Garamond"/>
        </w:rPr>
      </w:pPr>
      <w:r w:rsidRPr="003F1032">
        <w:rPr>
          <w:rFonts w:ascii="Garamond" w:hAnsi="Garamond"/>
        </w:rPr>
        <w:t>Based on representations received, it has been decided that mutual funds may use pool accounts, only for such transactions which are executed at mutual fund level owing to certain operational and regulatory requirements, subject to conditions specified in the present circular. The date for implementation of risk management framework for mutual funds and two-tiered structure benchmarking of certain categories of schemes has been extended to April 01, 2022.</w:t>
      </w:r>
    </w:p>
    <w:p w:rsidR="003F1032" w:rsidRPr="003F1032" w:rsidRDefault="003F1032" w:rsidP="003F1032">
      <w:pPr>
        <w:rPr>
          <w:rFonts w:ascii="Garamond" w:hAnsi="Garamond"/>
          <w:i/>
          <w:iCs/>
        </w:rPr>
      </w:pPr>
      <w:r w:rsidRPr="003F1032">
        <w:rPr>
          <w:rFonts w:ascii="Garamond" w:hAnsi="Garamond"/>
          <w:i/>
          <w:iCs/>
        </w:rPr>
        <w:t>Source: SEBI/HO/IMD/DF2/CIR/P/2021/683 dated December 10, 2021.</w:t>
      </w:r>
    </w:p>
    <w:p w:rsidR="003F1032" w:rsidRPr="003F1032" w:rsidRDefault="003F1032" w:rsidP="003F1032">
      <w:pPr>
        <w:pStyle w:val="ListParagraph"/>
        <w:spacing w:after="160" w:line="259" w:lineRule="auto"/>
        <w:ind w:left="840"/>
        <w:rPr>
          <w:rFonts w:ascii="Garamond" w:hAnsi="Garamond"/>
          <w:i/>
          <w:iCs/>
        </w:rPr>
      </w:pPr>
    </w:p>
    <w:p w:rsidR="003F1032" w:rsidRPr="003F1032" w:rsidRDefault="003F1032" w:rsidP="004E40DA">
      <w:pPr>
        <w:pStyle w:val="ListParagraph"/>
        <w:numPr>
          <w:ilvl w:val="0"/>
          <w:numId w:val="15"/>
        </w:numPr>
        <w:rPr>
          <w:rFonts w:ascii="Garamond" w:hAnsi="Garamond" w:cs="Mangal"/>
          <w:b/>
          <w:bCs/>
          <w:sz w:val="24"/>
          <w:szCs w:val="24"/>
          <w:lang w:val="en-IN" w:bidi="hi-IN"/>
        </w:rPr>
      </w:pPr>
      <w:r w:rsidRPr="003F1032">
        <w:rPr>
          <w:rFonts w:ascii="Garamond" w:hAnsi="Garamond" w:cs="Mangal"/>
          <w:b/>
          <w:bCs/>
          <w:sz w:val="24"/>
          <w:szCs w:val="24"/>
          <w:lang w:val="en-IN" w:bidi="hi-IN"/>
        </w:rPr>
        <w:t>Publishing Investor Charter and Disclosure of complaints by AIFs</w:t>
      </w:r>
    </w:p>
    <w:p w:rsidR="003F1032" w:rsidRPr="003F1032" w:rsidRDefault="003F1032" w:rsidP="004D561B">
      <w:pPr>
        <w:spacing w:after="120"/>
        <w:jc w:val="both"/>
        <w:rPr>
          <w:rFonts w:ascii="Garamond" w:hAnsi="Garamond" w:cs="Mangal"/>
          <w:lang w:val="en-IN" w:bidi="hi-IN"/>
        </w:rPr>
      </w:pPr>
      <w:r w:rsidRPr="003F1032">
        <w:rPr>
          <w:rFonts w:ascii="Garamond" w:hAnsi="Garamond" w:cs="Mangal"/>
          <w:lang w:val="en-IN" w:bidi="hi-IN"/>
        </w:rPr>
        <w:t xml:space="preserve">With a view to providing relevant information to investors about the various activities pertaining to AIFs, all AIFs have been advised to take necessary steps to bring the Investor Charter to the notice of their investors through disclosure in the Private Placement Memorandum in case of new schemes and to investors through email, in case of existing schemes. In order to bring about further transparency in the Investor Grievance Redressal Mechanism, it has </w:t>
      </w:r>
      <w:r w:rsidR="004D561B">
        <w:rPr>
          <w:rFonts w:ascii="Garamond" w:hAnsi="Garamond" w:cs="Mangal"/>
          <w:lang w:val="en-IN" w:bidi="hi-IN"/>
        </w:rPr>
        <w:t xml:space="preserve">also </w:t>
      </w:r>
      <w:r w:rsidRPr="003F1032">
        <w:rPr>
          <w:rFonts w:ascii="Garamond" w:hAnsi="Garamond" w:cs="Mangal"/>
          <w:lang w:val="en-IN" w:bidi="hi-IN"/>
        </w:rPr>
        <w:t>been decided that data on investor complaints received against AIFs and each of their schemes and redressal status thereof shall be disclosed by all AIFs as per specified format.</w:t>
      </w:r>
    </w:p>
    <w:p w:rsidR="009B68BC" w:rsidRDefault="003F1032" w:rsidP="003F1032">
      <w:pPr>
        <w:spacing w:after="120"/>
        <w:rPr>
          <w:rFonts w:ascii="Garamond" w:hAnsi="Garamond" w:cs="Mangal"/>
          <w:i/>
          <w:iCs/>
          <w:lang w:val="en-IN" w:bidi="hi-IN"/>
        </w:rPr>
      </w:pPr>
      <w:r w:rsidRPr="003F1032">
        <w:rPr>
          <w:rFonts w:ascii="Garamond" w:hAnsi="Garamond" w:cs="Mangal"/>
          <w:i/>
          <w:iCs/>
          <w:lang w:val="en-IN" w:bidi="hi-IN"/>
        </w:rPr>
        <w:t>Source: SEBI/HO/IMD/IMD-I/DOF9/P/CIR/2021/682 dated December 10, 2021.</w:t>
      </w:r>
    </w:p>
    <w:p w:rsidR="003F1032" w:rsidRPr="003F1032" w:rsidRDefault="003F1032" w:rsidP="004E40DA">
      <w:pPr>
        <w:pStyle w:val="ListParagraph"/>
        <w:numPr>
          <w:ilvl w:val="0"/>
          <w:numId w:val="15"/>
        </w:numPr>
        <w:rPr>
          <w:rFonts w:ascii="Garamond" w:hAnsi="Garamond" w:cs="Mangal"/>
          <w:b/>
          <w:bCs/>
          <w:sz w:val="24"/>
          <w:szCs w:val="24"/>
          <w:lang w:val="en-IN" w:bidi="hi-IN"/>
        </w:rPr>
      </w:pPr>
      <w:r w:rsidRPr="003F1032">
        <w:rPr>
          <w:rFonts w:ascii="Garamond" w:hAnsi="Garamond" w:cs="Mangal"/>
          <w:b/>
          <w:bCs/>
          <w:sz w:val="24"/>
          <w:szCs w:val="24"/>
          <w:lang w:val="en-IN" w:bidi="hi-IN"/>
        </w:rPr>
        <w:lastRenderedPageBreak/>
        <w:t>Publishing Investor  Charter and  disclosure  of  Investor  Complaints  by Mutual funds on their websites and AMFI website</w:t>
      </w:r>
    </w:p>
    <w:p w:rsidR="003F1032" w:rsidRPr="003F1032" w:rsidRDefault="003F1032" w:rsidP="004D561B">
      <w:pPr>
        <w:spacing w:after="120"/>
        <w:jc w:val="both"/>
        <w:rPr>
          <w:rFonts w:ascii="Garamond" w:hAnsi="Garamond" w:cs="Mangal"/>
          <w:lang w:val="en-IN" w:bidi="hi-IN"/>
        </w:rPr>
      </w:pPr>
      <w:r w:rsidRPr="003F1032">
        <w:rPr>
          <w:rFonts w:ascii="Garamond" w:hAnsi="Garamond" w:cs="Mangal"/>
          <w:lang w:val="en-IN" w:bidi="hi-IN"/>
        </w:rPr>
        <w:t xml:space="preserve">Mutual Funds are advised to bring the Investor Charter for Mutual Funds to the notice of their unit holders (existing as well as new unit holders) through disclosing the same on their websites, making them available at prominent places in the office, etc. Mutual Funds are </w:t>
      </w:r>
      <w:r w:rsidR="004D561B">
        <w:rPr>
          <w:rFonts w:ascii="Garamond" w:hAnsi="Garamond" w:cs="Mangal"/>
          <w:lang w:val="en-IN" w:bidi="hi-IN"/>
        </w:rPr>
        <w:t xml:space="preserve">also </w:t>
      </w:r>
      <w:r w:rsidRPr="003F1032">
        <w:rPr>
          <w:rFonts w:ascii="Garamond" w:hAnsi="Garamond" w:cs="Mangal"/>
          <w:lang w:val="en-IN" w:bidi="hi-IN"/>
        </w:rPr>
        <w:t>advised to display link/option to lodge complaint with them directly on their websites and mobile apps. All Mutual Funds shall also disclose the details of investor complaints on their respective websites as well as on AMFI website on a monthly basis, in a specified format.</w:t>
      </w:r>
    </w:p>
    <w:p w:rsidR="003F1032" w:rsidRDefault="003F1032" w:rsidP="003F1032">
      <w:pPr>
        <w:spacing w:after="120"/>
        <w:rPr>
          <w:rFonts w:ascii="Garamond" w:hAnsi="Garamond" w:cs="Mangal"/>
          <w:i/>
          <w:iCs/>
          <w:lang w:val="en-IN" w:bidi="hi-IN"/>
        </w:rPr>
      </w:pPr>
      <w:r w:rsidRPr="003F1032">
        <w:rPr>
          <w:rFonts w:ascii="Garamond" w:hAnsi="Garamond" w:cs="Mangal"/>
          <w:i/>
          <w:iCs/>
          <w:lang w:val="en-IN" w:bidi="hi-IN"/>
        </w:rPr>
        <w:t>Source: SEBI/HO/IMD-II/IMD-II_DOF10/P/CIR/2021/00677 dated December 10, 2021.</w:t>
      </w:r>
    </w:p>
    <w:p w:rsidR="003F1032" w:rsidRDefault="003F1032" w:rsidP="004E40DA">
      <w:pPr>
        <w:pStyle w:val="ListParagraph"/>
        <w:numPr>
          <w:ilvl w:val="0"/>
          <w:numId w:val="15"/>
        </w:numPr>
        <w:rPr>
          <w:rFonts w:ascii="Garamond" w:hAnsi="Garamond" w:cs="Mangal"/>
          <w:b/>
          <w:bCs/>
          <w:sz w:val="24"/>
          <w:szCs w:val="24"/>
          <w:lang w:val="en-IN" w:bidi="hi-IN"/>
        </w:rPr>
      </w:pPr>
      <w:r w:rsidRPr="003F1032">
        <w:rPr>
          <w:rFonts w:ascii="Garamond" w:hAnsi="Garamond" w:cs="Mangal"/>
          <w:b/>
          <w:bCs/>
          <w:sz w:val="24"/>
          <w:szCs w:val="24"/>
          <w:lang w:val="en-IN" w:bidi="hi-IN"/>
        </w:rPr>
        <w:t>Publishing of Investor Charter and disclosure of Investor Complaints by Portfolio Managers on their websites</w:t>
      </w:r>
    </w:p>
    <w:p w:rsidR="003F1032" w:rsidRPr="003F1032" w:rsidRDefault="003F1032" w:rsidP="004D561B">
      <w:pPr>
        <w:jc w:val="both"/>
        <w:rPr>
          <w:rFonts w:ascii="Garamond" w:hAnsi="Garamond" w:cs="Mangal"/>
          <w:lang w:val="en-IN" w:bidi="hi-IN"/>
        </w:rPr>
      </w:pPr>
      <w:r w:rsidRPr="003F1032">
        <w:rPr>
          <w:rFonts w:ascii="Garamond" w:hAnsi="Garamond" w:cs="Mangal"/>
          <w:lang w:val="en-IN" w:bidi="hi-IN"/>
        </w:rPr>
        <w:t>All registered Portfolio Managers are advised to bring to the notice of their clients the Investor Charter by prominently displaying on their websites. In order to enhance transparency in the Investor Grievance Redressal Mechanism, all Portfolio Managers shall disclose on their websites on a monthly basis, the data pertaining to all complaints including SCORES complaints received by them in a specified format.  Portfolio Managers are also advised to display link/option on their websites and mobile apps so as to enable their clients to lodge complaint with them directly and also link to SCORES website/ link to download mobile app.</w:t>
      </w:r>
    </w:p>
    <w:p w:rsidR="003F1032" w:rsidRDefault="003F1032" w:rsidP="003F1032">
      <w:pPr>
        <w:rPr>
          <w:rFonts w:ascii="Garamond" w:hAnsi="Garamond" w:cs="Mangal"/>
          <w:i/>
          <w:iCs/>
          <w:lang w:val="en-IN" w:bidi="hi-IN"/>
        </w:rPr>
      </w:pPr>
      <w:r w:rsidRPr="003F1032">
        <w:rPr>
          <w:rFonts w:ascii="Garamond" w:hAnsi="Garamond" w:cs="Mangal"/>
          <w:i/>
          <w:iCs/>
          <w:lang w:val="en-IN" w:bidi="hi-IN"/>
        </w:rPr>
        <w:t>Source: SEBI/HO/IMD/IMD-II_DOF7/P/CIR/2021/681 dated December 10, 2021.</w:t>
      </w:r>
    </w:p>
    <w:p w:rsidR="003F1032" w:rsidRDefault="003F1032" w:rsidP="003F1032">
      <w:pPr>
        <w:rPr>
          <w:rFonts w:ascii="Garamond" w:hAnsi="Garamond" w:cs="Mangal"/>
          <w:i/>
          <w:iCs/>
          <w:lang w:val="en-IN" w:bidi="hi-IN"/>
        </w:rPr>
      </w:pPr>
    </w:p>
    <w:p w:rsidR="003F1032" w:rsidRDefault="003F1032" w:rsidP="004E40DA">
      <w:pPr>
        <w:pStyle w:val="ListParagraph"/>
        <w:numPr>
          <w:ilvl w:val="0"/>
          <w:numId w:val="15"/>
        </w:numPr>
        <w:rPr>
          <w:rFonts w:ascii="Garamond" w:hAnsi="Garamond" w:cs="Mangal"/>
          <w:b/>
          <w:bCs/>
          <w:sz w:val="24"/>
          <w:szCs w:val="24"/>
          <w:lang w:val="en-IN" w:bidi="hi-IN"/>
        </w:rPr>
      </w:pPr>
      <w:r w:rsidRPr="003F1032">
        <w:rPr>
          <w:rFonts w:ascii="Garamond" w:hAnsi="Garamond" w:cs="Mangal"/>
          <w:b/>
          <w:bCs/>
          <w:sz w:val="24"/>
          <w:szCs w:val="24"/>
          <w:lang w:val="en-IN" w:bidi="hi-IN"/>
        </w:rPr>
        <w:t>Publishing of Investor Charter and disclosure of Investor Complaints  by Research Analysts on th</w:t>
      </w:r>
      <w:r>
        <w:rPr>
          <w:rFonts w:ascii="Garamond" w:hAnsi="Garamond" w:cs="Mangal"/>
          <w:b/>
          <w:bCs/>
          <w:sz w:val="24"/>
          <w:szCs w:val="24"/>
          <w:lang w:val="en-IN" w:bidi="hi-IN"/>
        </w:rPr>
        <w:t>eir websites/mobile applications</w:t>
      </w:r>
    </w:p>
    <w:p w:rsidR="003F1032" w:rsidRPr="003F1032" w:rsidRDefault="003F1032" w:rsidP="004D561B">
      <w:pPr>
        <w:jc w:val="both"/>
        <w:rPr>
          <w:rFonts w:ascii="Garamond" w:hAnsi="Garamond" w:cs="Mangal"/>
          <w:lang w:val="en-IN" w:bidi="hi-IN"/>
        </w:rPr>
      </w:pPr>
      <w:r w:rsidRPr="003F1032">
        <w:rPr>
          <w:rFonts w:ascii="Garamond" w:hAnsi="Garamond" w:cs="Mangal"/>
          <w:lang w:val="en-IN" w:bidi="hi-IN"/>
        </w:rPr>
        <w:t>All registered research analysts are advised to bring to the notice of their clients the Investor Charter by prominently displaying on their websites and mobile applications. Research Analysts not having websites/mobile applications shall, as a one-time measure, send Investor Charter to the investors on their registered e-mail address. In order to enhance transparency in grievance redressal, research analyst shall also disclose on their websites/mobile applications, all received by them in specified format.</w:t>
      </w:r>
    </w:p>
    <w:p w:rsidR="003F1032" w:rsidRDefault="003F1032" w:rsidP="003F1032">
      <w:pPr>
        <w:rPr>
          <w:rFonts w:ascii="Garamond" w:hAnsi="Garamond" w:cs="Mangal"/>
          <w:i/>
          <w:iCs/>
          <w:lang w:val="en-IN" w:bidi="hi-IN"/>
        </w:rPr>
      </w:pPr>
      <w:r w:rsidRPr="003F1032">
        <w:rPr>
          <w:rFonts w:ascii="Garamond" w:hAnsi="Garamond" w:cs="Mangal"/>
          <w:i/>
          <w:iCs/>
          <w:lang w:val="en-IN" w:bidi="hi-IN"/>
        </w:rPr>
        <w:t>Source: SEBI/HO/IMD/IMD-II CIS/P/CIR/2021/0685 dated December 13, 2021.</w:t>
      </w:r>
    </w:p>
    <w:p w:rsidR="003F1032" w:rsidRPr="003F1032" w:rsidRDefault="003F1032" w:rsidP="003F1032">
      <w:pPr>
        <w:pStyle w:val="ListParagraph"/>
        <w:ind w:left="840"/>
        <w:rPr>
          <w:rFonts w:ascii="Garamond" w:hAnsi="Garamond" w:cs="Mangal"/>
          <w:lang w:val="en-IN" w:bidi="hi-IN"/>
        </w:rPr>
      </w:pPr>
    </w:p>
    <w:p w:rsidR="003F1032" w:rsidRPr="003F1032" w:rsidRDefault="003F1032"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Publishing Investor Charter and disclosure of Investor</w:t>
      </w:r>
      <w:r w:rsidRPr="003F1032">
        <w:rPr>
          <w:rFonts w:ascii="Garamond" w:hAnsi="Garamond" w:cs="Mangal"/>
          <w:sz w:val="24"/>
          <w:szCs w:val="24"/>
          <w:lang w:val="en-IN" w:bidi="hi-IN"/>
        </w:rPr>
        <w:t xml:space="preserve"> </w:t>
      </w:r>
      <w:r w:rsidRPr="003F1032">
        <w:rPr>
          <w:rFonts w:ascii="Garamond" w:hAnsi="Garamond" w:cs="Mangal"/>
          <w:b/>
          <w:bCs/>
          <w:sz w:val="24"/>
          <w:szCs w:val="24"/>
          <w:lang w:val="en-IN" w:bidi="hi-IN"/>
        </w:rPr>
        <w:t>Complaints by      Investment Advisers on their websites/mobile applications</w:t>
      </w:r>
    </w:p>
    <w:p w:rsidR="00752A49" w:rsidRPr="00752A49" w:rsidRDefault="00752A49" w:rsidP="004D561B">
      <w:pPr>
        <w:jc w:val="both"/>
        <w:rPr>
          <w:rFonts w:ascii="Garamond" w:hAnsi="Garamond" w:cs="Mangal"/>
          <w:lang w:val="en-IN" w:bidi="hi-IN"/>
        </w:rPr>
      </w:pPr>
      <w:r w:rsidRPr="00752A49">
        <w:rPr>
          <w:rFonts w:ascii="Garamond" w:hAnsi="Garamond" w:cs="Mangal"/>
          <w:lang w:val="en-IN" w:bidi="hi-IN"/>
        </w:rPr>
        <w:t>All registered investment advisers are advised to bring to the notice of their clients the Investor Charter by prominently displaying on their websites and mobile applications. Investment Advisers not having websites/mobile applications shall, as a one-time measure, send Investor Charter to the investors on their registered e-mail address. In order to further enhance transparency in grievance redressal, the investment advisers shall disclose the monthly details of investor complaints by 7th of the succeeding month.</w:t>
      </w:r>
    </w:p>
    <w:p w:rsidR="003F1032" w:rsidRPr="00752A49" w:rsidRDefault="00752A49" w:rsidP="00752A49">
      <w:pPr>
        <w:rPr>
          <w:rFonts w:ascii="Garamond" w:hAnsi="Garamond" w:cs="Mangal"/>
          <w:i/>
          <w:iCs/>
          <w:lang w:val="en-IN" w:bidi="hi-IN"/>
        </w:rPr>
      </w:pPr>
      <w:r w:rsidRPr="00752A49">
        <w:rPr>
          <w:rFonts w:ascii="Garamond" w:hAnsi="Garamond" w:cs="Mangal"/>
          <w:i/>
          <w:iCs/>
          <w:lang w:val="en-IN" w:bidi="hi-IN"/>
        </w:rPr>
        <w:t>Source: SEBI/HO/IMD/IMD-II CIS/P/CIR/2021/0686 dated December 13, 2021.</w:t>
      </w:r>
    </w:p>
    <w:p w:rsidR="003F1032" w:rsidRPr="003F1032" w:rsidRDefault="003F1032" w:rsidP="003F1032">
      <w:pPr>
        <w:ind w:left="480"/>
        <w:rPr>
          <w:rFonts w:ascii="Garamond" w:hAnsi="Garamond" w:cs="Mangal"/>
          <w:b/>
          <w:bCs/>
          <w:lang w:val="en-IN" w:bidi="hi-IN"/>
        </w:rPr>
      </w:pP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Clarifications   with   respect   to   Circular   dated   November 03, 2021, on ‘Common and simplified norms for processing investor’s service request  by  RTAs  and  norms  for  furnishing  PAN,  KYC  details  and Nomination’</w:t>
      </w:r>
    </w:p>
    <w:p w:rsidR="00752A49" w:rsidRPr="00752A49" w:rsidRDefault="00752A49" w:rsidP="004D561B">
      <w:pPr>
        <w:jc w:val="both"/>
        <w:rPr>
          <w:rFonts w:ascii="Garamond" w:hAnsi="Garamond" w:cs="Mangal"/>
          <w:lang w:val="en-IN" w:bidi="hi-IN"/>
        </w:rPr>
      </w:pPr>
      <w:r w:rsidRPr="00752A49">
        <w:rPr>
          <w:rFonts w:ascii="Garamond" w:hAnsi="Garamond" w:cs="Mangal"/>
          <w:lang w:val="en-IN" w:bidi="hi-IN"/>
        </w:rPr>
        <w:t>Based on the representations received from the Registrars Association of India (RAIN), vide the present circular , clarity  has been provided on certain provisions and on the applicability of the circular dated November 03,2021.</w:t>
      </w:r>
    </w:p>
    <w:p w:rsidR="003F1032" w:rsidRPr="00752A49" w:rsidRDefault="00752A49" w:rsidP="00752A49">
      <w:pPr>
        <w:rPr>
          <w:rFonts w:ascii="Garamond" w:hAnsi="Garamond" w:cs="Mangal"/>
          <w:i/>
          <w:iCs/>
          <w:lang w:val="en-IN" w:bidi="hi-IN"/>
        </w:rPr>
      </w:pPr>
      <w:r w:rsidRPr="00752A49">
        <w:rPr>
          <w:rFonts w:ascii="Garamond" w:hAnsi="Garamond" w:cs="Mangal"/>
          <w:i/>
          <w:iCs/>
          <w:lang w:val="en-IN" w:bidi="hi-IN"/>
        </w:rPr>
        <w:t>Source: SEBI/HO/MIRSD/MIRSD_RTAMB/P/CIR/2021/687 dated December 14, 2021.</w:t>
      </w:r>
    </w:p>
    <w:p w:rsidR="003F1032" w:rsidRDefault="003F1032" w:rsidP="003F1032">
      <w:pPr>
        <w:spacing w:after="120"/>
        <w:rPr>
          <w:rFonts w:ascii="Garamond" w:hAnsi="Garamond" w:cs="Mangal"/>
          <w:b/>
          <w:bCs/>
          <w:lang w:val="en-IN" w:bidi="hi-IN"/>
        </w:rPr>
      </w:pP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lastRenderedPageBreak/>
        <w:t>Publishing Investor Charter and Disclosure of Investor Complaints by Merchant Bankers on their Websites for private placement of units by InvITs proposed to be listed</w:t>
      </w:r>
    </w:p>
    <w:p w:rsidR="00752A49" w:rsidRPr="00752A49" w:rsidRDefault="00752A49" w:rsidP="004D561B">
      <w:pPr>
        <w:spacing w:after="120"/>
        <w:jc w:val="both"/>
        <w:rPr>
          <w:rFonts w:ascii="Garamond" w:hAnsi="Garamond" w:cs="Mangal"/>
          <w:lang w:val="en-IN" w:bidi="hi-IN"/>
        </w:rPr>
      </w:pPr>
      <w:r w:rsidRPr="00752A49">
        <w:rPr>
          <w:rFonts w:ascii="Garamond" w:hAnsi="Garamond" w:cs="Mangal"/>
          <w:lang w:val="en-IN" w:bidi="hi-IN"/>
        </w:rPr>
        <w:t>All registered Merchant Bankers are advised to disclose on their websites, the Investor Charter for private placement of units by InvITs proposed to be listed. In order to bring about transparency in the Investor Grievance Redressal Mechanism, it has also been decided that all the registered merchant bankers shall disclose on their respective websites, the monthly data on complaints received against them or against issues dealt by them and redressal thereof, latest by 7th of succeeding month.</w:t>
      </w:r>
    </w:p>
    <w:p w:rsidR="00752A49" w:rsidRDefault="00752A49" w:rsidP="00752A49">
      <w:pPr>
        <w:spacing w:after="120"/>
        <w:rPr>
          <w:rFonts w:ascii="Garamond" w:hAnsi="Garamond" w:cs="Mangal"/>
          <w:i/>
          <w:iCs/>
          <w:lang w:val="en-IN" w:bidi="hi-IN"/>
        </w:rPr>
      </w:pPr>
      <w:r w:rsidRPr="00752A49">
        <w:rPr>
          <w:rFonts w:ascii="Garamond" w:hAnsi="Garamond" w:cs="Mangal"/>
          <w:i/>
          <w:iCs/>
          <w:lang w:val="en-IN" w:bidi="hi-IN"/>
        </w:rPr>
        <w:t>Source: SEBI/HO/DDHS/DDHS_Div3/P/CIR/2021/690 dated December 16, 2021</w:t>
      </w:r>
    </w:p>
    <w:p w:rsidR="00752A49" w:rsidRDefault="00752A49" w:rsidP="00752A49">
      <w:pPr>
        <w:spacing w:after="120"/>
        <w:rPr>
          <w:rFonts w:ascii="Garamond" w:hAnsi="Garamond" w:cs="Mangal"/>
          <w:i/>
          <w:iCs/>
          <w:lang w:val="en-IN" w:bidi="hi-IN"/>
        </w:rPr>
      </w:pP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Cut-off Time for generation of last Risk Parameter File(RPF) for client’s margin  collection  purpose and modification  in  framework  to  enable verification  of  upfront  collection  of  margins from  clients in  commodity derivatives segment</w:t>
      </w:r>
    </w:p>
    <w:p w:rsidR="00752A49" w:rsidRPr="005E307C" w:rsidRDefault="00752A49" w:rsidP="004D561B">
      <w:pPr>
        <w:jc w:val="both"/>
        <w:rPr>
          <w:rFonts w:ascii="Garamond" w:hAnsi="Garamond" w:cs="Mangal"/>
          <w:lang w:val="en-US"/>
        </w:rPr>
      </w:pPr>
      <w:r w:rsidRPr="005E307C">
        <w:rPr>
          <w:rFonts w:ascii="Garamond" w:hAnsi="Garamond" w:cs="Mangal"/>
          <w:lang w:val="en-US"/>
        </w:rPr>
        <w:t>In view of RBI decision to enable RTGS round the clock on all days in a year, cut-off time for generation of RPF for client’s margin collection/verification for upfront margin collection from clients has been modified for commodity derivatives segment. Clearing corporations shall send an additional minimum two  snapshots  for  commodity  derivative contracts which are traded till 9:00 PM and additional minimum three snapshots for those   traded   till   11:30/11:55 PM. Margins/ EOD margins shall be determined as per the relevant Risk Parameter Files.</w:t>
      </w:r>
    </w:p>
    <w:p w:rsidR="00752A49" w:rsidRPr="005E307C" w:rsidRDefault="00752A49" w:rsidP="00752A49">
      <w:pPr>
        <w:jc w:val="both"/>
        <w:rPr>
          <w:rFonts w:ascii="Garamond" w:hAnsi="Garamond" w:cs="Mangal"/>
          <w:lang w:val="en-US"/>
        </w:rPr>
      </w:pPr>
      <w:r w:rsidRPr="005E307C">
        <w:rPr>
          <w:rFonts w:ascii="Garamond" w:hAnsi="Garamond" w:cs="Mangal"/>
          <w:i/>
          <w:iCs/>
          <w:lang w:val="en-US"/>
        </w:rPr>
        <w:t xml:space="preserve">Source: SEBI/HO/CDMRD/CDMRD_DRM/P/CIR/2021/689 dated </w:t>
      </w:r>
      <w:r w:rsidR="00EA72AE">
        <w:rPr>
          <w:rFonts w:ascii="Garamond" w:hAnsi="Garamond" w:cs="Mangal"/>
          <w:i/>
          <w:iCs/>
          <w:lang w:val="en-US"/>
        </w:rPr>
        <w:t xml:space="preserve">16 </w:t>
      </w:r>
      <w:r w:rsidRPr="005E307C">
        <w:rPr>
          <w:rFonts w:ascii="Garamond" w:hAnsi="Garamond" w:cs="Mangal"/>
          <w:i/>
          <w:iCs/>
          <w:lang w:val="en-US"/>
        </w:rPr>
        <w:t>December, 2021.</w:t>
      </w:r>
    </w:p>
    <w:p w:rsidR="00752A49" w:rsidRDefault="00752A49" w:rsidP="00752A49">
      <w:pPr>
        <w:spacing w:after="120"/>
        <w:rPr>
          <w:rFonts w:ascii="Garamond" w:hAnsi="Garamond" w:cs="Mangal"/>
          <w:lang w:val="en-IN" w:bidi="hi-IN"/>
        </w:rPr>
      </w:pP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Revision  to Operational  Circular  for  issue  and  listing  of  Non-convertible Securities,  Securitised  Debt  Instruments,  Security  Receipts,  Municipal  Debt Securities and Commercial Paper</w:t>
      </w:r>
    </w:p>
    <w:p w:rsidR="00752A49" w:rsidRPr="005E307C" w:rsidRDefault="00752A49" w:rsidP="004D561B">
      <w:pPr>
        <w:jc w:val="both"/>
        <w:rPr>
          <w:rFonts w:ascii="Garamond" w:hAnsi="Garamond" w:cs="Mangal"/>
          <w:b/>
          <w:bCs/>
          <w:lang w:val="en-US"/>
        </w:rPr>
      </w:pPr>
      <w:r w:rsidRPr="005E307C">
        <w:rPr>
          <w:rFonts w:ascii="Garamond" w:hAnsi="Garamond" w:cs="Mangal"/>
          <w:lang w:val="en-US"/>
        </w:rPr>
        <w:t>In order to bring in uniformity to regulatory requirements and based on feedback from market participants vide the captioned circular, amendments have been carried out on SEBI circular pertaining to listing of commercial paper</w:t>
      </w:r>
    </w:p>
    <w:p w:rsidR="00752A49" w:rsidRDefault="00752A49" w:rsidP="00752A49">
      <w:pPr>
        <w:spacing w:after="120"/>
        <w:rPr>
          <w:rFonts w:ascii="Garamond" w:hAnsi="Garamond" w:cs="Mangal"/>
          <w:i/>
          <w:iCs/>
          <w:lang w:val="en-US"/>
        </w:rPr>
      </w:pPr>
      <w:r w:rsidRPr="005E307C">
        <w:rPr>
          <w:rFonts w:ascii="Garamond" w:hAnsi="Garamond" w:cs="Mangal"/>
          <w:i/>
          <w:iCs/>
          <w:lang w:val="en-US"/>
        </w:rPr>
        <w:t>Source:  SEBI/HO/DDHS/P/CIR/2021/0692 dated December 17, 2021.</w:t>
      </w:r>
    </w:p>
    <w:p w:rsidR="00752A49" w:rsidRPr="00752A49" w:rsidRDefault="00752A49" w:rsidP="00752A49">
      <w:pPr>
        <w:spacing w:after="120"/>
        <w:rPr>
          <w:rFonts w:ascii="Garamond" w:hAnsi="Garamond" w:cs="Mangal"/>
          <w:lang w:val="en-IN" w:bidi="hi-IN"/>
        </w:rPr>
      </w:pP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Publishing of Investor   Charter   and Disclosure of   Complaints by Custodians and DDPs on their websites</w:t>
      </w:r>
    </w:p>
    <w:p w:rsidR="00752A49" w:rsidRPr="005E307C" w:rsidRDefault="00752A49" w:rsidP="00752A49">
      <w:pPr>
        <w:jc w:val="both"/>
        <w:rPr>
          <w:rFonts w:ascii="Garamond" w:hAnsi="Garamond" w:cs="Mangal"/>
          <w:lang w:val="en-US"/>
        </w:rPr>
      </w:pPr>
      <w:r w:rsidRPr="005E307C">
        <w:rPr>
          <w:rFonts w:ascii="Garamond" w:hAnsi="Garamond" w:cs="Mangal"/>
          <w:lang w:val="en-US"/>
        </w:rPr>
        <w:t>All the registered custodians and DDPs shall take necessary steps to bring the Investor Charter, to the notice of their clients and ensure that the Investor Charter is prominently displayed on their respective website for ease of accessibility of investors. In order to bring about transparency in the Investor Grievance Redressal Mechanism, all Custodians and DDPs shall disclose on their respective websites, the monthly data on complaints received and redressal thereof, latest by 7th of succeeding month.</w:t>
      </w:r>
    </w:p>
    <w:p w:rsidR="00752A49" w:rsidRPr="00752A49" w:rsidRDefault="00752A49" w:rsidP="00752A49">
      <w:pPr>
        <w:spacing w:after="120"/>
        <w:rPr>
          <w:rFonts w:ascii="Garamond" w:hAnsi="Garamond" w:cs="Mangal"/>
          <w:lang w:val="en-IN" w:bidi="hi-IN"/>
        </w:rPr>
      </w:pPr>
      <w:r w:rsidRPr="005E307C">
        <w:rPr>
          <w:rFonts w:ascii="Garamond" w:hAnsi="Garamond" w:cs="Mangal"/>
          <w:i/>
          <w:iCs/>
          <w:lang w:val="en-US"/>
        </w:rPr>
        <w:t>Source: SEBI/HO/FPIC/P/CIR/2021/691 December 17, 2021.</w:t>
      </w:r>
    </w:p>
    <w:p w:rsidR="00752A49" w:rsidRPr="00752A49" w:rsidRDefault="00752A49" w:rsidP="004E40DA">
      <w:pPr>
        <w:pStyle w:val="ListParagraph"/>
        <w:numPr>
          <w:ilvl w:val="0"/>
          <w:numId w:val="15"/>
        </w:numPr>
        <w:rPr>
          <w:rFonts w:ascii="Garamond" w:hAnsi="Garamond" w:cs="Mangal"/>
          <w:b/>
          <w:bCs/>
          <w:sz w:val="24"/>
          <w:szCs w:val="24"/>
          <w:lang w:val="en-IN" w:bidi="hi-IN"/>
        </w:rPr>
      </w:pPr>
      <w:r w:rsidRPr="00752A49">
        <w:rPr>
          <w:rFonts w:ascii="Garamond" w:hAnsi="Garamond" w:cs="Mangal"/>
          <w:b/>
          <w:bCs/>
          <w:sz w:val="24"/>
          <w:szCs w:val="24"/>
          <w:lang w:val="en-IN" w:bidi="hi-IN"/>
        </w:rPr>
        <w:t>Operational Circular for  issue and  listing of Non-convertible  Securities, Securitised Debt Instruments, Security Receipts, Municipal Debt Securities and Commercial Paper</w:t>
      </w:r>
    </w:p>
    <w:p w:rsidR="00752A49" w:rsidRPr="005E307C" w:rsidRDefault="00752A49" w:rsidP="00752A49">
      <w:pPr>
        <w:jc w:val="both"/>
        <w:rPr>
          <w:rFonts w:ascii="Garamond" w:hAnsi="Garamond" w:cs="Mangal"/>
          <w:lang w:val="en-US"/>
        </w:rPr>
      </w:pPr>
      <w:r w:rsidRPr="005E307C">
        <w:rPr>
          <w:rFonts w:ascii="Garamond" w:hAnsi="Garamond" w:cs="Mangal"/>
          <w:lang w:val="en-US"/>
        </w:rPr>
        <w:t>SEBI (Issue and Listing of Non-Convertible Securities) Regulations, 2021 (SEBI NCS Regulations, 2021) were notified pursuant to merger and repeal of SEBI (ILDS) Regulations, 2008 and SEBI(NCRPS) Regulations, 2013. All the existing circulars issued under ILDS and NCRPS regulations have been consolidated into the captioned single operational circular which provides a chapter-wise framework for the issuance, listing and trading of non-convertible securities, securitised debt instruments, security receipts, municipal debt securities or commercial paper.</w:t>
      </w:r>
    </w:p>
    <w:p w:rsidR="00752A49" w:rsidRPr="005E307C" w:rsidRDefault="00752A49" w:rsidP="00752A49">
      <w:pPr>
        <w:jc w:val="both"/>
        <w:rPr>
          <w:rFonts w:ascii="Garamond" w:hAnsi="Garamond" w:cs="Mangal"/>
          <w:i/>
          <w:iCs/>
          <w:lang w:val="en-US"/>
        </w:rPr>
      </w:pPr>
      <w:r w:rsidRPr="005E307C">
        <w:rPr>
          <w:rFonts w:ascii="Garamond" w:hAnsi="Garamond" w:cs="Mangal"/>
          <w:i/>
          <w:iCs/>
          <w:lang w:val="en-US"/>
        </w:rPr>
        <w:lastRenderedPageBreak/>
        <w:t>Source: SEBI/HO/DDHS/P/CIR/2021/613 dated December 17, 2021.</w:t>
      </w:r>
    </w:p>
    <w:p w:rsidR="00752A49" w:rsidRPr="00752A49" w:rsidRDefault="00752A49" w:rsidP="00752A49">
      <w:pPr>
        <w:spacing w:after="120"/>
        <w:rPr>
          <w:rFonts w:ascii="Garamond" w:hAnsi="Garamond" w:cs="Mangal"/>
          <w:lang w:val="en-IN" w:bidi="hi-IN"/>
        </w:rPr>
      </w:pPr>
    </w:p>
    <w:p w:rsidR="00EA72AE" w:rsidRPr="00EA72AE" w:rsidRDefault="00EA72AE" w:rsidP="004E40DA">
      <w:pPr>
        <w:pStyle w:val="ListParagraph"/>
        <w:numPr>
          <w:ilvl w:val="0"/>
          <w:numId w:val="15"/>
        </w:numPr>
        <w:rPr>
          <w:rFonts w:ascii="Garamond" w:hAnsi="Garamond" w:cs="Mangal"/>
          <w:b/>
          <w:bCs/>
          <w:sz w:val="24"/>
          <w:szCs w:val="24"/>
          <w:lang w:val="en-IN" w:bidi="hi-IN"/>
        </w:rPr>
      </w:pPr>
      <w:r w:rsidRPr="00EA72AE">
        <w:rPr>
          <w:rFonts w:ascii="Garamond" w:hAnsi="Garamond" w:cs="Mangal"/>
          <w:b/>
          <w:bCs/>
          <w:sz w:val="24"/>
          <w:szCs w:val="24"/>
          <w:lang w:val="en-IN" w:bidi="hi-IN"/>
        </w:rPr>
        <w:t>Portfolio Management Services for Accredited Investors</w:t>
      </w:r>
    </w:p>
    <w:p w:rsidR="00EA72AE" w:rsidRPr="00EA72AE" w:rsidRDefault="00EA72AE" w:rsidP="004D561B">
      <w:pPr>
        <w:spacing w:after="120"/>
        <w:jc w:val="both"/>
        <w:rPr>
          <w:rFonts w:ascii="Garamond" w:hAnsi="Garamond" w:cs="Mangal"/>
          <w:lang w:val="en-IN" w:bidi="hi-IN"/>
        </w:rPr>
      </w:pPr>
      <w:r w:rsidRPr="00EA72AE">
        <w:rPr>
          <w:rFonts w:ascii="Garamond" w:hAnsi="Garamond" w:cs="Mangal"/>
          <w:lang w:val="en-IN" w:bidi="hi-IN"/>
        </w:rPr>
        <w:t>SEBI has decided that in case of large value accredited investors, the quantum and manner of exit load applicable to the client of the Portfolio Manager shall be governed through bilaterally negotiated contractual terms and the provisions of para 3 (iv) of the Circular dated Aug 26, 2021, shall not be applicable. The other provisions of the Circular shall remain unchanged.</w:t>
      </w:r>
    </w:p>
    <w:p w:rsidR="00EA72AE" w:rsidRPr="00EA72AE" w:rsidRDefault="00EA72AE" w:rsidP="004D561B">
      <w:pPr>
        <w:spacing w:after="120"/>
        <w:jc w:val="both"/>
        <w:rPr>
          <w:rFonts w:ascii="Garamond" w:hAnsi="Garamond" w:cs="Mangal"/>
          <w:lang w:val="en-IN" w:bidi="hi-IN"/>
        </w:rPr>
      </w:pPr>
      <w:r w:rsidRPr="00EA72AE">
        <w:rPr>
          <w:rFonts w:ascii="Garamond" w:hAnsi="Garamond" w:cs="Mangal"/>
          <w:lang w:val="en-IN" w:bidi="hi-IN"/>
        </w:rPr>
        <w:t>It has been clarified  that  “accredited  investor”  shall  have  the  same  meaning  as assigned  to  it  under  clause  (ab)  of  sub-regulation  (1)  of  regulation  2  of  the  SEBI (Alternative Investment Funds) Regulations, 2012.</w:t>
      </w:r>
    </w:p>
    <w:p w:rsidR="00752A49" w:rsidRPr="00EA72AE" w:rsidRDefault="00EA72AE" w:rsidP="00EA72AE">
      <w:pPr>
        <w:spacing w:after="120"/>
        <w:rPr>
          <w:rFonts w:ascii="Garamond" w:hAnsi="Garamond" w:cs="Mangal"/>
          <w:i/>
          <w:iCs/>
          <w:lang w:val="en-IN" w:bidi="hi-IN"/>
        </w:rPr>
      </w:pPr>
      <w:r w:rsidRPr="00EA72AE">
        <w:rPr>
          <w:rFonts w:ascii="Garamond" w:hAnsi="Garamond" w:cs="Mangal"/>
          <w:i/>
          <w:iCs/>
          <w:lang w:val="en-IN" w:bidi="hi-IN"/>
        </w:rPr>
        <w:t>Source: SEBI/HO/IMD/IMD-I DOF1/P/CIR/2021/693 dated December 21, 2021.</w:t>
      </w:r>
    </w:p>
    <w:p w:rsidR="00752A49" w:rsidRDefault="00752A49" w:rsidP="00752A49">
      <w:pPr>
        <w:spacing w:after="120"/>
        <w:rPr>
          <w:rFonts w:ascii="Garamond" w:hAnsi="Garamond" w:cs="Mangal"/>
          <w:lang w:val="en-IN" w:bidi="hi-IN"/>
        </w:rPr>
      </w:pPr>
    </w:p>
    <w:p w:rsidR="00EA72AE" w:rsidRPr="00EA72AE" w:rsidRDefault="00EA72AE" w:rsidP="004E40DA">
      <w:pPr>
        <w:pStyle w:val="ListParagraph"/>
        <w:numPr>
          <w:ilvl w:val="0"/>
          <w:numId w:val="15"/>
        </w:numPr>
        <w:rPr>
          <w:rFonts w:ascii="Garamond" w:hAnsi="Garamond" w:cs="Mangal"/>
          <w:b/>
          <w:bCs/>
          <w:sz w:val="24"/>
          <w:szCs w:val="24"/>
          <w:lang w:val="en-IN" w:bidi="hi-IN"/>
        </w:rPr>
      </w:pPr>
      <w:r w:rsidRPr="00EA72AE">
        <w:rPr>
          <w:rFonts w:ascii="Garamond" w:hAnsi="Garamond" w:cs="Mangal"/>
          <w:b/>
          <w:bCs/>
          <w:sz w:val="24"/>
          <w:szCs w:val="24"/>
          <w:lang w:val="en-IN" w:bidi="hi-IN"/>
        </w:rPr>
        <w:t>Investment Advisory Services for Accredited Investors</w:t>
      </w:r>
    </w:p>
    <w:p w:rsidR="00EA72AE" w:rsidRPr="00EA72AE" w:rsidRDefault="00EA72AE" w:rsidP="00A9179C">
      <w:pPr>
        <w:spacing w:after="120"/>
        <w:jc w:val="both"/>
        <w:rPr>
          <w:rFonts w:ascii="Garamond" w:hAnsi="Garamond" w:cs="Mangal"/>
          <w:lang w:val="en-IN" w:bidi="hi-IN"/>
        </w:rPr>
      </w:pPr>
      <w:r w:rsidRPr="00EA72AE">
        <w:rPr>
          <w:rFonts w:ascii="Garamond" w:hAnsi="Garamond" w:cs="Mangal"/>
          <w:lang w:val="en-IN" w:bidi="hi-IN"/>
        </w:rPr>
        <w:t>SEBI has decided that in case of accredited investors, the limits and modes of fees payable to the Investment Adviser (IA) shall be governed through bilaterally negotiated contractual terms and the provisions of para 2(iii) of the Circular dated Aug 26, 2021, shall not be applicable. The other provisions of the Circular shall remain unchanged.</w:t>
      </w:r>
    </w:p>
    <w:p w:rsidR="00EA72AE" w:rsidRPr="00EA72AE" w:rsidRDefault="00EA72AE" w:rsidP="00EA72AE">
      <w:pPr>
        <w:spacing w:after="120"/>
        <w:rPr>
          <w:rFonts w:ascii="Garamond" w:hAnsi="Garamond" w:cs="Mangal"/>
          <w:i/>
          <w:iCs/>
          <w:lang w:val="en-IN" w:bidi="hi-IN"/>
        </w:rPr>
      </w:pPr>
      <w:r w:rsidRPr="00EA72AE">
        <w:rPr>
          <w:rFonts w:ascii="Garamond" w:hAnsi="Garamond" w:cs="Mangal"/>
          <w:i/>
          <w:iCs/>
          <w:lang w:val="en-IN" w:bidi="hi-IN"/>
        </w:rPr>
        <w:t>Source: SEBI/HO/IMD/IMD-I DOF1/P/CIR/2021/694 dated December 21, 2021.</w:t>
      </w:r>
    </w:p>
    <w:p w:rsidR="00752A49" w:rsidRDefault="00752A49" w:rsidP="00752A49">
      <w:pPr>
        <w:spacing w:after="120"/>
        <w:rPr>
          <w:rFonts w:ascii="Garamond" w:hAnsi="Garamond" w:cs="Mangal"/>
          <w:i/>
          <w:iCs/>
          <w:lang w:val="en-IN" w:bidi="hi-IN"/>
        </w:rPr>
      </w:pPr>
    </w:p>
    <w:p w:rsidR="00EA72AE" w:rsidRPr="00EA72AE" w:rsidRDefault="00EA72AE" w:rsidP="004E40DA">
      <w:pPr>
        <w:pStyle w:val="ListParagraph"/>
        <w:numPr>
          <w:ilvl w:val="0"/>
          <w:numId w:val="15"/>
        </w:numPr>
        <w:rPr>
          <w:rFonts w:ascii="Garamond" w:hAnsi="Garamond" w:cs="Mangal"/>
          <w:b/>
          <w:bCs/>
          <w:sz w:val="24"/>
          <w:szCs w:val="24"/>
          <w:lang w:val="en-IN" w:bidi="hi-IN"/>
        </w:rPr>
      </w:pPr>
      <w:r w:rsidRPr="00EA72AE">
        <w:rPr>
          <w:rFonts w:ascii="Garamond" w:hAnsi="Garamond" w:cs="Mangal"/>
          <w:b/>
          <w:bCs/>
          <w:sz w:val="24"/>
          <w:szCs w:val="24"/>
          <w:lang w:val="en-IN" w:bidi="hi-IN"/>
        </w:rPr>
        <w:t>Extension of facility for conducting annual meeting and other meetings of unit holders of REITs and InvITs through Video Conferencing (VC) or through Other Audio-Visual means (OAVM)</w:t>
      </w:r>
    </w:p>
    <w:p w:rsidR="00B5431D" w:rsidRPr="00B5431D" w:rsidRDefault="00B5431D" w:rsidP="00A9179C">
      <w:pPr>
        <w:spacing w:after="120"/>
        <w:jc w:val="both"/>
        <w:rPr>
          <w:rFonts w:ascii="Garamond" w:hAnsi="Garamond" w:cs="Mangal"/>
          <w:lang w:val="en-IN" w:bidi="hi-IN"/>
        </w:rPr>
      </w:pPr>
      <w:r w:rsidRPr="00B5431D">
        <w:rPr>
          <w:rFonts w:ascii="Garamond" w:hAnsi="Garamond" w:cs="Mangal"/>
          <w:lang w:val="en-IN" w:bidi="hi-IN"/>
        </w:rPr>
        <w:t>SEBI, in February, 2021 permitted REITs/InvITs  to  conduct  annual  meetings of  unitholders through  VC/OAVM  till  December  31,  2021 and other meetings of unitholders through VC/OAVM till June30, 2021.</w:t>
      </w:r>
      <w:r w:rsidR="00A9179C">
        <w:rPr>
          <w:rFonts w:ascii="Garamond" w:hAnsi="Garamond" w:cs="Mangal"/>
          <w:lang w:val="en-IN" w:bidi="hi-IN"/>
        </w:rPr>
        <w:t xml:space="preserve"> </w:t>
      </w:r>
      <w:r w:rsidRPr="00B5431D">
        <w:rPr>
          <w:rFonts w:ascii="Garamond" w:hAnsi="Garamond" w:cs="Mangal"/>
          <w:lang w:val="en-IN" w:bidi="hi-IN"/>
        </w:rPr>
        <w:t>It has been decided to extend the facility to conduct annual meetings of unitholders in terms of Regulation 22(3) of SEBI (REIT) Regulations, 2014 and Regulation 22(3)(a)  of  SEBI  (InvIT) Regulations, 2014 and meetings other than annual meeting, through VC or OAVM till June 30, 2022.</w:t>
      </w:r>
    </w:p>
    <w:p w:rsidR="00752A49" w:rsidRDefault="00B5431D" w:rsidP="00B5431D">
      <w:pPr>
        <w:spacing w:after="120"/>
        <w:rPr>
          <w:rFonts w:ascii="Garamond" w:hAnsi="Garamond" w:cs="Mangal"/>
          <w:i/>
          <w:iCs/>
          <w:lang w:val="en-IN" w:bidi="hi-IN"/>
        </w:rPr>
      </w:pPr>
      <w:r w:rsidRPr="00B5431D">
        <w:rPr>
          <w:rFonts w:ascii="Garamond" w:hAnsi="Garamond" w:cs="Mangal"/>
          <w:i/>
          <w:iCs/>
          <w:lang w:val="en-IN" w:bidi="hi-IN"/>
        </w:rPr>
        <w:t>Source: SEBI/HO/DDHS/DDHS_Div2/P/CIR/2021/697 dated December 22, 2021.</w:t>
      </w:r>
    </w:p>
    <w:p w:rsidR="00B5431D" w:rsidRDefault="00B5431D" w:rsidP="00B5431D">
      <w:pPr>
        <w:spacing w:after="120"/>
        <w:rPr>
          <w:rFonts w:ascii="Garamond" w:hAnsi="Garamond" w:cs="Mangal"/>
          <w:i/>
          <w:iCs/>
          <w:lang w:val="en-IN" w:bidi="hi-IN"/>
        </w:rPr>
      </w:pPr>
    </w:p>
    <w:p w:rsidR="00B5431D" w:rsidRPr="00B5431D" w:rsidRDefault="00B5431D" w:rsidP="004E40DA">
      <w:pPr>
        <w:pStyle w:val="ListParagraph"/>
        <w:numPr>
          <w:ilvl w:val="0"/>
          <w:numId w:val="15"/>
        </w:numPr>
        <w:rPr>
          <w:rFonts w:ascii="Garamond" w:hAnsi="Garamond" w:cs="Mangal"/>
          <w:b/>
          <w:bCs/>
          <w:lang w:val="en-IN" w:bidi="hi-IN"/>
        </w:rPr>
      </w:pPr>
      <w:r w:rsidRPr="00B5431D">
        <w:rPr>
          <w:rFonts w:ascii="Garamond" w:hAnsi="Garamond" w:cs="Mangal"/>
          <w:b/>
          <w:bCs/>
          <w:sz w:val="24"/>
          <w:szCs w:val="24"/>
          <w:lang w:val="en-IN" w:bidi="hi-IN"/>
        </w:rPr>
        <w:t>Restoration of relaxed timelinesw.r.t. validity of observation letter pertaining to Mutual Funds</w:t>
      </w:r>
    </w:p>
    <w:p w:rsidR="00B5431D" w:rsidRPr="00B5431D" w:rsidRDefault="00B5431D" w:rsidP="004D561B">
      <w:pPr>
        <w:spacing w:after="120"/>
        <w:jc w:val="both"/>
        <w:rPr>
          <w:rFonts w:ascii="Garamond" w:hAnsi="Garamond" w:cs="Mangal"/>
          <w:lang w:val="en-IN" w:bidi="hi-IN"/>
        </w:rPr>
      </w:pPr>
      <w:r w:rsidRPr="00B5431D">
        <w:rPr>
          <w:rFonts w:ascii="Garamond" w:hAnsi="Garamond" w:cs="Mangal"/>
          <w:lang w:val="en-IN" w:bidi="hi-IN"/>
        </w:rPr>
        <w:t xml:space="preserve">SEBI, in March, 2020, </w:t>
      </w:r>
      <w:r w:rsidR="004D561B">
        <w:rPr>
          <w:rFonts w:ascii="Garamond" w:hAnsi="Garamond" w:cs="Mangal"/>
          <w:lang w:val="en-IN" w:bidi="hi-IN"/>
        </w:rPr>
        <w:t xml:space="preserve">had </w:t>
      </w:r>
      <w:r w:rsidRPr="00B5431D">
        <w:rPr>
          <w:rFonts w:ascii="Garamond" w:hAnsi="Garamond" w:cs="Mangal"/>
          <w:lang w:val="en-IN" w:bidi="hi-IN"/>
        </w:rPr>
        <w:t>extended the validity period of observation letter issued by SEBI for launch of all New Fund Offers (NFOs) from six months to one year from the date of SEBI letter.</w:t>
      </w:r>
      <w:r w:rsidR="00A9179C">
        <w:rPr>
          <w:rFonts w:ascii="Garamond" w:hAnsi="Garamond" w:cs="Mangal"/>
          <w:lang w:val="en-IN" w:bidi="hi-IN"/>
        </w:rPr>
        <w:t xml:space="preserve"> </w:t>
      </w:r>
      <w:r w:rsidRPr="00B5431D">
        <w:rPr>
          <w:rFonts w:ascii="Garamond" w:hAnsi="Garamond" w:cs="Mangal"/>
          <w:lang w:val="en-IN" w:bidi="hi-IN"/>
        </w:rPr>
        <w:t xml:space="preserve">It has been decided to restore the validity period of observation letter issued by SEBI to six months to launch NFOs. </w:t>
      </w:r>
    </w:p>
    <w:p w:rsidR="00B5431D" w:rsidRDefault="00B5431D" w:rsidP="00B5431D">
      <w:pPr>
        <w:spacing w:after="120"/>
        <w:rPr>
          <w:rFonts w:ascii="Garamond" w:hAnsi="Garamond" w:cs="Mangal"/>
          <w:i/>
          <w:iCs/>
          <w:lang w:val="en-IN" w:bidi="hi-IN"/>
        </w:rPr>
      </w:pPr>
      <w:r w:rsidRPr="00B5431D">
        <w:rPr>
          <w:rFonts w:ascii="Garamond" w:hAnsi="Garamond" w:cs="Mangal"/>
          <w:i/>
          <w:iCs/>
          <w:lang w:val="en-IN" w:bidi="hi-IN"/>
        </w:rPr>
        <w:t>Source: SEBI/HO/IMD/IMD-II DOF3/P/CIR/2021/698 dated December 22, 2021.</w:t>
      </w:r>
    </w:p>
    <w:p w:rsidR="00B5431D" w:rsidRDefault="00B5431D" w:rsidP="00B5431D">
      <w:pPr>
        <w:spacing w:after="120"/>
        <w:rPr>
          <w:rFonts w:ascii="Garamond" w:hAnsi="Garamond" w:cs="Mangal"/>
          <w:i/>
          <w:iCs/>
          <w:lang w:val="en-IN" w:bidi="hi-IN"/>
        </w:rPr>
      </w:pPr>
    </w:p>
    <w:p w:rsidR="00B5431D" w:rsidRPr="00B5431D" w:rsidRDefault="00B5431D" w:rsidP="004E40DA">
      <w:pPr>
        <w:pStyle w:val="ListParagraph"/>
        <w:numPr>
          <w:ilvl w:val="0"/>
          <w:numId w:val="15"/>
        </w:numPr>
        <w:spacing w:after="120"/>
        <w:rPr>
          <w:rFonts w:ascii="Garamond" w:hAnsi="Garamond" w:cs="Mangal"/>
          <w:b/>
          <w:bCs/>
          <w:lang w:val="en-IN" w:bidi="hi-IN"/>
        </w:rPr>
      </w:pPr>
      <w:r>
        <w:rPr>
          <w:rFonts w:ascii="Garamond" w:hAnsi="Garamond" w:cs="Mangal"/>
          <w:lang w:val="en-IN" w:bidi="hi-IN"/>
        </w:rPr>
        <w:t xml:space="preserve"> </w:t>
      </w:r>
      <w:r w:rsidRPr="00B5431D">
        <w:rPr>
          <w:rFonts w:ascii="Garamond" w:hAnsi="Garamond" w:cs="Mangal"/>
          <w:b/>
          <w:bCs/>
          <w:sz w:val="24"/>
          <w:szCs w:val="24"/>
          <w:lang w:val="en-IN" w:bidi="hi-IN"/>
        </w:rPr>
        <w:t>Non-compliance with provisions related to continuous disclosures</w:t>
      </w:r>
    </w:p>
    <w:p w:rsidR="00B5431D" w:rsidRPr="00B5431D" w:rsidRDefault="00B5431D" w:rsidP="00A9179C">
      <w:pPr>
        <w:spacing w:after="120"/>
        <w:jc w:val="both"/>
        <w:rPr>
          <w:rFonts w:ascii="Garamond" w:hAnsi="Garamond" w:cs="Mangal"/>
          <w:lang w:val="en-IN" w:bidi="hi-IN"/>
        </w:rPr>
      </w:pPr>
      <w:r w:rsidRPr="00B5431D">
        <w:rPr>
          <w:rFonts w:ascii="Garamond" w:hAnsi="Garamond" w:cs="Mangal"/>
          <w:lang w:val="en-IN" w:bidi="hi-IN"/>
        </w:rPr>
        <w:t xml:space="preserve">In the interests of investors and the securities market, the stock exchanges shall levy fine and take action in case of non-compliances with continuous disclosure requirements by the issuers of listed non-convertible securities and/ or commercial paper as specified in Annexure I and II of the circular respectively. In case a non-compliant entity is listed on more than one recognized stock exchange, the stock exchange(s) shall take uniform action in consultation with each other. The amount of fine realized as per the structure provided </w:t>
      </w:r>
      <w:r w:rsidRPr="00B5431D">
        <w:rPr>
          <w:rFonts w:ascii="Garamond" w:hAnsi="Garamond" w:cs="Mangal"/>
          <w:lang w:val="en-IN" w:bidi="hi-IN"/>
        </w:rPr>
        <w:lastRenderedPageBreak/>
        <w:t>in Annexure I of the present circular shall be credited to the "Investor Protection Fund" of the concerned recognized stock exchange.</w:t>
      </w:r>
    </w:p>
    <w:p w:rsidR="00B5431D" w:rsidRPr="00B5431D" w:rsidRDefault="00B5431D" w:rsidP="00B5431D">
      <w:pPr>
        <w:spacing w:after="120"/>
        <w:rPr>
          <w:rFonts w:ascii="Garamond" w:hAnsi="Garamond" w:cs="Mangal"/>
          <w:i/>
          <w:iCs/>
          <w:lang w:val="en-IN" w:bidi="hi-IN"/>
        </w:rPr>
      </w:pPr>
      <w:r w:rsidRPr="00B5431D">
        <w:rPr>
          <w:rFonts w:ascii="Garamond" w:hAnsi="Garamond" w:cs="Mangal"/>
          <w:i/>
          <w:iCs/>
          <w:lang w:val="en-IN" w:bidi="hi-IN"/>
        </w:rPr>
        <w:t>Source: SEBI/HO/DDHS_Div2/P/CIR/2021/699 dated December 29, 2021.</w:t>
      </w:r>
    </w:p>
    <w:p w:rsidR="00B5431D" w:rsidRDefault="00B5431D" w:rsidP="00B5431D">
      <w:pPr>
        <w:spacing w:after="120"/>
        <w:rPr>
          <w:rFonts w:ascii="Garamond" w:hAnsi="Garamond" w:cs="Mangal"/>
          <w:lang w:val="en-IN" w:bidi="hi-IN"/>
        </w:rPr>
      </w:pPr>
    </w:p>
    <w:p w:rsidR="00B5431D" w:rsidRPr="00B5431D" w:rsidRDefault="00B5431D" w:rsidP="004E40DA">
      <w:pPr>
        <w:pStyle w:val="ListParagraph"/>
        <w:numPr>
          <w:ilvl w:val="0"/>
          <w:numId w:val="15"/>
        </w:numPr>
        <w:rPr>
          <w:rFonts w:ascii="Garamond" w:hAnsi="Garamond" w:cs="Mangal"/>
          <w:b/>
          <w:bCs/>
          <w:sz w:val="24"/>
          <w:szCs w:val="24"/>
          <w:lang w:val="en-IN" w:bidi="hi-IN"/>
        </w:rPr>
      </w:pPr>
      <w:r w:rsidRPr="00B5431D">
        <w:rPr>
          <w:rFonts w:ascii="Garamond" w:hAnsi="Garamond" w:cs="Mangal"/>
          <w:b/>
          <w:bCs/>
          <w:sz w:val="24"/>
          <w:szCs w:val="24"/>
          <w:lang w:val="en-IN" w:bidi="hi-IN"/>
        </w:rPr>
        <w:t>Extension of timeline for modified reporting requirements for AIFs</w:t>
      </w:r>
    </w:p>
    <w:p w:rsidR="00B5431D" w:rsidRPr="00B5431D" w:rsidRDefault="00B5431D" w:rsidP="004D561B">
      <w:pPr>
        <w:spacing w:after="120"/>
        <w:jc w:val="both"/>
        <w:rPr>
          <w:rFonts w:ascii="Garamond" w:hAnsi="Garamond" w:cs="Mangal"/>
          <w:lang w:val="en-IN" w:bidi="hi-IN"/>
        </w:rPr>
      </w:pPr>
      <w:r w:rsidRPr="00B5431D">
        <w:rPr>
          <w:rFonts w:ascii="Garamond" w:hAnsi="Garamond" w:cs="Mangal"/>
          <w:lang w:val="en-IN" w:bidi="hi-IN"/>
        </w:rPr>
        <w:t>Pursuant to requests from AIF industry, it has been decided to extend the timeline for applicability of modified reporting requirements for quarter ending September 30, 2022 onwards.</w:t>
      </w:r>
    </w:p>
    <w:p w:rsidR="00B5431D" w:rsidRPr="00B5431D" w:rsidRDefault="00B5431D" w:rsidP="00B5431D">
      <w:pPr>
        <w:spacing w:after="120"/>
        <w:rPr>
          <w:rFonts w:ascii="Garamond" w:hAnsi="Garamond" w:cs="Mangal"/>
          <w:i/>
          <w:iCs/>
          <w:lang w:val="en-IN" w:bidi="hi-IN"/>
        </w:rPr>
      </w:pPr>
      <w:r w:rsidRPr="00B5431D">
        <w:rPr>
          <w:rFonts w:ascii="Garamond" w:hAnsi="Garamond" w:cs="Mangal"/>
          <w:i/>
          <w:iCs/>
          <w:lang w:val="en-IN" w:bidi="hi-IN"/>
        </w:rPr>
        <w:t>Source: SEBI/HO/IMD/IMD-I/DOF6/CIR/2021/700 dated December 30, 2021.</w:t>
      </w:r>
    </w:p>
    <w:p w:rsidR="00B5431D" w:rsidRPr="00B5431D" w:rsidRDefault="00B5431D" w:rsidP="00B5431D">
      <w:pPr>
        <w:spacing w:after="120"/>
        <w:rPr>
          <w:rFonts w:ascii="Garamond" w:hAnsi="Garamond" w:cs="Mangal"/>
          <w:i/>
          <w:iCs/>
          <w:lang w:val="en-IN" w:bidi="hi-IN"/>
        </w:rPr>
      </w:pPr>
    </w:p>
    <w:p w:rsidR="00D80A78" w:rsidRPr="00836FD4" w:rsidRDefault="00284E34" w:rsidP="005B1CA9">
      <w:pPr>
        <w:spacing w:after="120"/>
        <w:rPr>
          <w:rFonts w:ascii="Garamond" w:hAnsi="Garamond"/>
          <w:b/>
        </w:rPr>
      </w:pPr>
      <w:r w:rsidRPr="00836FD4">
        <w:rPr>
          <w:rFonts w:ascii="Garamond" w:hAnsi="Garamond" w:cs="Arial"/>
          <w:i/>
        </w:rPr>
        <w:t>Disclaimer: The summary has been prepared for the convenience of readers. In case of any ambiguity, please refer to the original circular</w:t>
      </w:r>
      <w:r w:rsidR="00836FD4">
        <w:rPr>
          <w:rFonts w:ascii="Garamond" w:hAnsi="Garamond" w:cs="Arial"/>
          <w:i/>
        </w:rPr>
        <w:t xml:space="preserve"> from SEBI website</w:t>
      </w:r>
      <w:r w:rsidRPr="00836FD4">
        <w:rPr>
          <w:rFonts w:ascii="Garamond" w:hAnsi="Garamond" w:cs="Arial"/>
          <w:i/>
        </w:rPr>
        <w:t>.</w:t>
      </w:r>
    </w:p>
    <w:p w:rsidR="00B43842" w:rsidRPr="009774AE" w:rsidRDefault="00B43842" w:rsidP="009774AE">
      <w:pPr>
        <w:spacing w:after="120"/>
        <w:rPr>
          <w:rFonts w:ascii="Garamond" w:hAnsi="Garamond"/>
          <w:b/>
        </w:rPr>
      </w:pPr>
    </w:p>
    <w:p w:rsidR="00836FD4" w:rsidRDefault="00836FD4" w:rsidP="00F025AD">
      <w:pPr>
        <w:spacing w:after="120"/>
        <w:jc w:val="center"/>
        <w:rPr>
          <w:rFonts w:ascii="Palatino Linotype" w:hAnsi="Palatino Linotype"/>
          <w:b/>
          <w:sz w:val="28"/>
          <w:szCs w:val="28"/>
        </w:rPr>
      </w:pPr>
    </w:p>
    <w:p w:rsidR="00836FD4" w:rsidRDefault="00836FD4" w:rsidP="00F025AD">
      <w:pPr>
        <w:spacing w:after="120"/>
        <w:jc w:val="center"/>
        <w:rPr>
          <w:rFonts w:ascii="Palatino Linotype" w:hAnsi="Palatino Linotype"/>
          <w:b/>
          <w:sz w:val="28"/>
          <w:szCs w:val="28"/>
        </w:rPr>
      </w:pPr>
    </w:p>
    <w:p w:rsidR="00836FD4" w:rsidRDefault="00836FD4" w:rsidP="00F025AD">
      <w:pPr>
        <w:spacing w:after="120"/>
        <w:jc w:val="center"/>
        <w:rPr>
          <w:rFonts w:ascii="Palatino Linotype" w:hAnsi="Palatino Linotype"/>
          <w:b/>
          <w:sz w:val="28"/>
          <w:szCs w:val="28"/>
        </w:rPr>
      </w:pPr>
    </w:p>
    <w:p w:rsidR="00836FD4" w:rsidRDefault="00836FD4" w:rsidP="00F025AD">
      <w:pPr>
        <w:spacing w:after="120"/>
        <w:jc w:val="center"/>
        <w:rPr>
          <w:rFonts w:ascii="Palatino Linotype" w:hAnsi="Palatino Linotype"/>
          <w:b/>
          <w:sz w:val="28"/>
          <w:szCs w:val="28"/>
        </w:rPr>
      </w:pPr>
    </w:p>
    <w:p w:rsidR="00836FD4" w:rsidRDefault="00836FD4" w:rsidP="00F025AD">
      <w:pPr>
        <w:spacing w:after="120"/>
        <w:jc w:val="center"/>
        <w:rPr>
          <w:rFonts w:ascii="Palatino Linotype" w:hAnsi="Palatino Linotype"/>
          <w:b/>
          <w:sz w:val="28"/>
          <w:szCs w:val="28"/>
        </w:rPr>
      </w:pPr>
    </w:p>
    <w:p w:rsidR="00836FD4" w:rsidRDefault="00836FD4" w:rsidP="00F025AD">
      <w:pPr>
        <w:spacing w:after="120"/>
        <w:jc w:val="center"/>
        <w:rPr>
          <w:rFonts w:ascii="Palatino Linotype" w:hAnsi="Palatino Linotype"/>
          <w:b/>
          <w:sz w:val="28"/>
          <w:szCs w:val="28"/>
        </w:rPr>
      </w:pPr>
    </w:p>
    <w:p w:rsidR="004C2E1D" w:rsidRDefault="004C2E1D" w:rsidP="000E7317">
      <w:pPr>
        <w:spacing w:after="120"/>
        <w:rPr>
          <w:rFonts w:ascii="Palatino Linotype" w:hAnsi="Palatino Linotype"/>
          <w:b/>
          <w:sz w:val="28"/>
          <w:szCs w:val="28"/>
        </w:rPr>
      </w:pPr>
    </w:p>
    <w:p w:rsidR="00836FD4" w:rsidRDefault="00836FD4" w:rsidP="001D1888">
      <w:pPr>
        <w:spacing w:after="120"/>
        <w:rPr>
          <w:rFonts w:ascii="Palatino Linotype" w:hAnsi="Palatino Linotype"/>
          <w:b/>
          <w:sz w:val="28"/>
          <w:szCs w:val="28"/>
        </w:rPr>
      </w:pPr>
    </w:p>
    <w:p w:rsidR="00940001" w:rsidRDefault="00940001" w:rsidP="001D1888">
      <w:pPr>
        <w:spacing w:after="120"/>
        <w:rPr>
          <w:rFonts w:ascii="Palatino Linotype" w:hAnsi="Palatino Linotype"/>
          <w:b/>
          <w:sz w:val="28"/>
          <w:szCs w:val="28"/>
        </w:rPr>
      </w:pPr>
    </w:p>
    <w:p w:rsidR="00940001" w:rsidRDefault="00940001" w:rsidP="001D1888">
      <w:pPr>
        <w:spacing w:after="120"/>
        <w:rPr>
          <w:rFonts w:ascii="Palatino Linotype" w:hAnsi="Palatino Linotype"/>
          <w:b/>
          <w:sz w:val="28"/>
          <w:szCs w:val="28"/>
        </w:rPr>
      </w:pPr>
    </w:p>
    <w:p w:rsidR="00940001" w:rsidRDefault="00940001" w:rsidP="001D1888">
      <w:pPr>
        <w:spacing w:after="120"/>
        <w:rPr>
          <w:rFonts w:ascii="Palatino Linotype" w:hAnsi="Palatino Linotype"/>
          <w:b/>
          <w:sz w:val="28"/>
          <w:szCs w:val="28"/>
        </w:rPr>
      </w:pPr>
    </w:p>
    <w:p w:rsidR="00B5431D" w:rsidRDefault="00B5431D" w:rsidP="00B5431D">
      <w:pPr>
        <w:spacing w:after="120"/>
        <w:rPr>
          <w:rFonts w:ascii="Palatino Linotype" w:hAnsi="Palatino Linotype"/>
          <w:b/>
          <w:sz w:val="28"/>
          <w:szCs w:val="28"/>
        </w:rPr>
      </w:pPr>
    </w:p>
    <w:p w:rsidR="00272724" w:rsidRPr="00966FBB" w:rsidRDefault="00272724" w:rsidP="00B5431D">
      <w:pPr>
        <w:spacing w:after="120"/>
        <w:jc w:val="center"/>
        <w:rPr>
          <w:rFonts w:ascii="Garamond" w:hAnsi="Garamond"/>
          <w:b/>
          <w:color w:val="1F4E79"/>
          <w:sz w:val="28"/>
          <w:szCs w:val="28"/>
        </w:rPr>
      </w:pPr>
      <w:r w:rsidRPr="00966FBB">
        <w:rPr>
          <w:rFonts w:ascii="Garamond" w:hAnsi="Garamond"/>
          <w:b/>
          <w:color w:val="1F4E79"/>
          <w:sz w:val="28"/>
          <w:szCs w:val="28"/>
        </w:rPr>
        <w:t>REGULATORY ACTIONS TAKEN BY SEBI</w:t>
      </w:r>
    </w:p>
    <w:p w:rsidR="00272724" w:rsidRPr="000F5A2B" w:rsidRDefault="00272724" w:rsidP="00272724">
      <w:pPr>
        <w:rPr>
          <w:rFonts w:ascii="Garamond" w:hAnsi="Garamond"/>
          <w:b/>
        </w:rPr>
      </w:pPr>
    </w:p>
    <w:p w:rsidR="00272724" w:rsidRPr="00966FBB" w:rsidRDefault="00C4512E" w:rsidP="00C4512E">
      <w:pPr>
        <w:jc w:val="center"/>
        <w:rPr>
          <w:rFonts w:ascii="Garamond" w:hAnsi="Garamond"/>
          <w:b/>
          <w:color w:val="1F4E79"/>
        </w:rPr>
      </w:pPr>
      <w:r w:rsidRPr="00966FBB">
        <w:rPr>
          <w:rFonts w:ascii="Garamond" w:hAnsi="Garamond"/>
          <w:b/>
          <w:color w:val="1F4E79"/>
        </w:rPr>
        <w:t>(</w:t>
      </w:r>
      <w:r w:rsidR="00836FD4" w:rsidRPr="00966FBB">
        <w:rPr>
          <w:rFonts w:ascii="Garamond" w:hAnsi="Garamond"/>
          <w:b/>
          <w:color w:val="1F4E79"/>
        </w:rPr>
        <w:t xml:space="preserve">Summary of </w:t>
      </w:r>
      <w:r w:rsidR="00272724" w:rsidRPr="00966FBB">
        <w:rPr>
          <w:rFonts w:ascii="Garamond" w:hAnsi="Garamond"/>
          <w:b/>
          <w:color w:val="1F4E79"/>
        </w:rPr>
        <w:t>Orders passed by Whole Time Members</w:t>
      </w:r>
      <w:r w:rsidR="00F9747C" w:rsidRPr="00966FBB">
        <w:rPr>
          <w:rFonts w:ascii="Garamond" w:hAnsi="Garamond"/>
          <w:b/>
          <w:color w:val="1F4E79"/>
        </w:rPr>
        <w:t xml:space="preserve"> / Adjudication Officers</w:t>
      </w:r>
      <w:r w:rsidRPr="00966FBB">
        <w:rPr>
          <w:rFonts w:ascii="Garamond" w:hAnsi="Garamond"/>
          <w:b/>
          <w:color w:val="1F4E79"/>
        </w:rPr>
        <w:t>)</w:t>
      </w:r>
    </w:p>
    <w:p w:rsidR="00A07B14" w:rsidRDefault="00A07B14" w:rsidP="00272724">
      <w:pPr>
        <w:rPr>
          <w:rFonts w:ascii="Garamond" w:hAnsi="Garamond"/>
          <w:b/>
          <w:sz w:val="22"/>
          <w:szCs w:val="22"/>
        </w:rPr>
      </w:pPr>
    </w:p>
    <w:p w:rsidR="00956136" w:rsidRDefault="00956136" w:rsidP="00272724">
      <w:pPr>
        <w:rPr>
          <w:rFonts w:ascii="Garamond" w:hAnsi="Garamond"/>
          <w:b/>
          <w:sz w:val="22"/>
          <w:szCs w:val="22"/>
        </w:rPr>
      </w:pPr>
    </w:p>
    <w:tbl>
      <w:tblPr>
        <w:tblW w:w="10774" w:type="dxa"/>
        <w:tblInd w:w="-431" w:type="dxa"/>
        <w:tblLayout w:type="fixed"/>
        <w:tblLook w:val="04A0" w:firstRow="1" w:lastRow="0" w:firstColumn="1" w:lastColumn="0" w:noHBand="0" w:noVBand="1"/>
      </w:tblPr>
      <w:tblGrid>
        <w:gridCol w:w="568"/>
        <w:gridCol w:w="1418"/>
        <w:gridCol w:w="1701"/>
        <w:gridCol w:w="1275"/>
        <w:gridCol w:w="2127"/>
        <w:gridCol w:w="2268"/>
        <w:gridCol w:w="1417"/>
      </w:tblGrid>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Sl.</w:t>
            </w:r>
          </w:p>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No.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Date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Case Name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 xml:space="preserve">Action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Violation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56136" w:rsidRPr="00966FBB" w:rsidRDefault="00956136" w:rsidP="00530909">
            <w:pPr>
              <w:jc w:val="center"/>
              <w:rPr>
                <w:rFonts w:ascii="Garamond" w:hAnsi="Garamond" w:cs="Calibri"/>
                <w:b/>
                <w:bCs/>
                <w:color w:val="000000"/>
                <w:lang w:val="en-IN" w:eastAsia="en-IN" w:bidi="hi-IN"/>
              </w:rPr>
            </w:pPr>
            <w:r w:rsidRPr="00966FBB">
              <w:rPr>
                <w:rFonts w:ascii="Garamond" w:hAnsi="Garamond" w:cs="Calibri"/>
                <w:b/>
                <w:bCs/>
                <w:color w:val="000000"/>
                <w:lang w:val="en-IN" w:eastAsia="en-IN" w:bidi="hi-IN"/>
              </w:rPr>
              <w:t>PENALTY (`)</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E132C4" w:rsidP="00530909">
            <w:pPr>
              <w:jc w:val="both"/>
              <w:rPr>
                <w:rFonts w:ascii="Garamond" w:hAnsi="Garamond"/>
              </w:rPr>
            </w:pPr>
            <w:r w:rsidRPr="009B4A70">
              <w:rPr>
                <w:rFonts w:ascii="Garamond" w:hAnsi="Garamond" w:cs="Mangal"/>
                <w:lang w:bidi="hi-IN"/>
              </w:rPr>
              <w:t>13/12</w:t>
            </w:r>
            <w:r w:rsidR="00956136" w:rsidRPr="009B4A70">
              <w:rPr>
                <w:rFonts w:ascii="Garamond" w:hAnsi="Garamond" w:cs="Mangal"/>
                <w:lang w:bidi="hi-IN"/>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jc w:val="both"/>
              <w:rPr>
                <w:rFonts w:ascii="Garamond" w:hAnsi="Garamond"/>
              </w:rPr>
            </w:pPr>
            <w:r w:rsidRPr="009B4A70">
              <w:rPr>
                <w:rFonts w:ascii="Garamond" w:eastAsia="Times New Roman" w:hAnsi="Garamond" w:cs="Calibri"/>
                <w:color w:val="000000"/>
              </w:rPr>
              <w:t>Parsoli  Corporation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B4A70">
              <w:rPr>
                <w:rFonts w:ascii="Garamond" w:hAnsi="Garamond" w:cs="Mangal"/>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shd w:val="clear" w:color="auto" w:fill="FFFFFF"/>
              <w:jc w:val="both"/>
              <w:rPr>
                <w:rFonts w:ascii="Garamond" w:hAnsi="Garamond"/>
              </w:rPr>
            </w:pPr>
            <w:r w:rsidRPr="009B4A70">
              <w:rPr>
                <w:rFonts w:ascii="Garamond" w:eastAsia="Times New Roman" w:hAnsi="Garamond" w:cs="Calibri"/>
                <w:color w:val="000000"/>
              </w:rPr>
              <w:t>Mr. Zafar Yunus Sareshwala, Mr. Uves Yunus Sareshwala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D656D2" w:rsidP="00530909">
            <w:pPr>
              <w:shd w:val="clear" w:color="auto" w:fill="FFFFFF"/>
              <w:jc w:val="both"/>
              <w:rPr>
                <w:rFonts w:ascii="Garamond" w:hAnsi="Garamond"/>
              </w:rPr>
            </w:pPr>
            <w:r w:rsidRPr="00966FBB">
              <w:rPr>
                <w:rFonts w:ascii="Garamond" w:hAnsi="Garamond"/>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right"/>
              <w:rPr>
                <w:rFonts w:ascii="Garamond" w:hAnsi="Garamond"/>
              </w:rPr>
            </w:pPr>
            <w:r w:rsidRPr="009B4A70">
              <w:rPr>
                <w:rFonts w:ascii="Garamond" w:hAnsi="Garamond" w:cs="Mangal"/>
                <w:lang w:bidi="hi-IN"/>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lastRenderedPageBreak/>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jc w:val="both"/>
              <w:rPr>
                <w:rFonts w:ascii="Garamond" w:hAnsi="Garamond"/>
              </w:rPr>
            </w:pPr>
            <w:r w:rsidRPr="009B4A70">
              <w:rPr>
                <w:rFonts w:ascii="Garamond" w:hAnsi="Garamond" w:cs="Mangal"/>
                <w:lang w:bidi="hi-IN"/>
              </w:rPr>
              <w:t>13/12</w:t>
            </w:r>
            <w:r w:rsidR="00956136" w:rsidRPr="009B4A70">
              <w:rPr>
                <w:rFonts w:ascii="Garamond" w:hAnsi="Garamond" w:cs="Mangal"/>
                <w:lang w:bidi="hi-IN"/>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jc w:val="both"/>
              <w:rPr>
                <w:rFonts w:ascii="Garamond" w:hAnsi="Garamond"/>
              </w:rPr>
            </w:pPr>
            <w:r w:rsidRPr="009B4A70">
              <w:rPr>
                <w:rFonts w:ascii="Garamond" w:eastAsia="Times New Roman" w:hAnsi="Garamond" w:cs="Calibri"/>
                <w:color w:val="000000"/>
              </w:rPr>
              <w:t>Vishwas   Stocks   Research   Private   Ltd.,   Dalal   Stocks Advisory Private Ltd. and Devki Stocks Private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B4A70">
              <w:rPr>
                <w:rFonts w:ascii="Garamond" w:hAnsi="Garamond" w:cs="Mangal"/>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jc w:val="both"/>
              <w:rPr>
                <w:rFonts w:ascii="Garamond" w:hAnsi="Garamond"/>
              </w:rPr>
            </w:pPr>
            <w:r w:rsidRPr="009B4A70">
              <w:rPr>
                <w:rFonts w:ascii="Garamond" w:eastAsia="Times New Roman" w:hAnsi="Garamond" w:cs="Calibri"/>
                <w:color w:val="000000"/>
              </w:rPr>
              <w:t>Dalal Merchandise Advisory Pvt. Ltd., Himanshu Bharatkumar Bhavsar, Maulikkumar Rajeshkumar Prajapati, Pinalben Himanshubhai Bhavsar, Devki Stocks Pvt. Ltd. , Devang Pareshbhai Vyas, Vishwas Stocks Research Pvt Ltd. ,  Javed Lalmahamad Sindhi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D656D2" w:rsidP="00530909">
            <w:pPr>
              <w:shd w:val="clear" w:color="auto" w:fill="FFFFFF"/>
              <w:jc w:val="both"/>
              <w:rPr>
                <w:rFonts w:ascii="Garamond" w:hAnsi="Garamond"/>
              </w:rPr>
            </w:pPr>
            <w:r w:rsidRPr="009B4A70">
              <w:rPr>
                <w:rFonts w:ascii="Garamond" w:eastAsia="Times New Roman" w:hAnsi="Garamond" w:cs="Calibri"/>
                <w:color w:val="000000"/>
              </w:rPr>
              <w:t>Section  12(1), 12A  (a),  (b),  (c)  of SEBI  Act,  1992 alongwith  regulations  3  (a),  (b),  (c),  (d)  and regulations  4(1)  and  4(2)(k)  of PFUTP  Regulations,  2003 and  regulation  3(1)  of  the IA Regulations, 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EB0191" w:rsidP="00EB0191">
            <w:pPr>
              <w:jc w:val="right"/>
              <w:rPr>
                <w:rFonts w:ascii="Garamond" w:hAnsi="Garamond"/>
              </w:rPr>
            </w:pPr>
            <w:r w:rsidRPr="00966FBB">
              <w:rPr>
                <w:rFonts w:ascii="Garamond" w:hAnsi="Garamond"/>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D656D2" w:rsidP="00530909">
            <w:pPr>
              <w:jc w:val="both"/>
              <w:rPr>
                <w:rFonts w:ascii="Garamond" w:hAnsi="Garamond"/>
              </w:rPr>
            </w:pPr>
            <w:r w:rsidRPr="009B4A70">
              <w:rPr>
                <w:rFonts w:ascii="Garamond" w:hAnsi="Garamond" w:cs="Mangal"/>
                <w:lang w:bidi="hi-IN"/>
              </w:rPr>
              <w:t>13/12</w:t>
            </w:r>
            <w:r w:rsidR="00956136" w:rsidRPr="009B4A70">
              <w:rPr>
                <w:rFonts w:ascii="Garamond" w:hAnsi="Garamond" w:cs="Mangal"/>
                <w:lang w:bidi="hi-IN"/>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Hybrid Research Advisory Services (Proprietor: Mr. Nikhil Kumar)</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Hybrid Research Advisory Services (Proprietor: Mr. Nikhil Kumar)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734D6C" w:rsidP="00530909">
            <w:pPr>
              <w:shd w:val="clear" w:color="auto" w:fill="FFFFFF"/>
              <w:jc w:val="both"/>
              <w:rPr>
                <w:rFonts w:ascii="Garamond" w:hAnsi="Garamond"/>
              </w:rPr>
            </w:pPr>
            <w:r w:rsidRPr="009B4A70">
              <w:rPr>
                <w:rFonts w:ascii="Garamond" w:eastAsia="Times New Roman" w:hAnsi="Garamond" w:cs="Calibri"/>
                <w:color w:val="000000"/>
              </w:rPr>
              <w:t>Section 12A (a), (b) &amp; (c) of the SEBI Act, 1992 and regulations 3 (b), (c) &amp; (d) and regulations 4(1) and 4(2)(k) of the SEBI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734D6C">
            <w:pPr>
              <w:jc w:val="right"/>
              <w:rPr>
                <w:rFonts w:ascii="Garamond" w:hAnsi="Garamond"/>
              </w:rPr>
            </w:pPr>
            <w:r w:rsidRPr="009B4A70">
              <w:rPr>
                <w:rFonts w:ascii="Garamond" w:hAnsi="Garamond" w:cs="Mangal"/>
                <w:lang w:bidi="hi-IN"/>
              </w:rPr>
              <w:t xml:space="preserve">       -</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hAnsi="Garamond" w:cs="Mangal"/>
                <w:lang w:bidi="hi-IN"/>
              </w:rPr>
              <w:t>13/12</w:t>
            </w:r>
            <w:r w:rsidR="00956136" w:rsidRPr="009B4A70">
              <w:rPr>
                <w:rFonts w:ascii="Garamond" w:hAnsi="Garamond" w:cs="Mangal"/>
                <w:lang w:bidi="hi-IN"/>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Insider trading by employees of Infosys Ltd. and Wipro Ltd. in the shares of Infosys Ltd.-Confirmatory Order</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 xml:space="preserve">11B </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Mr. Ramit Chaudhri, Mr. Keyur Maniar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734D6C" w:rsidP="00530909">
            <w:pPr>
              <w:shd w:val="clear" w:color="auto" w:fill="FFFFFF"/>
              <w:jc w:val="both"/>
              <w:rPr>
                <w:rFonts w:ascii="Garamond" w:hAnsi="Garamond"/>
              </w:rPr>
            </w:pPr>
            <w:r w:rsidRPr="009B4A70">
              <w:rPr>
                <w:rFonts w:ascii="Garamond" w:eastAsia="Times New Roman" w:hAnsi="Garamond" w:cs="Calibri"/>
                <w:color w:val="000000"/>
              </w:rPr>
              <w:t>Section 12A (d) and (e) of SEBI Act,1992 and Regulations 3(1) , 3(2) &amp; 4(1) of PIT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right"/>
              <w:rPr>
                <w:rFonts w:ascii="Garamond" w:hAnsi="Garamond"/>
              </w:rPr>
            </w:pPr>
            <w:r w:rsidRPr="009B4A70">
              <w:rPr>
                <w:rFonts w:ascii="Garamond" w:hAnsi="Garamond" w:cs="Mangal"/>
                <w:lang w:bidi="hi-IN"/>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hAnsi="Garamond" w:cs="Mangal"/>
                <w:lang w:bidi="hi-IN"/>
              </w:rPr>
              <w:t>13/12</w:t>
            </w:r>
            <w:r w:rsidR="00956136" w:rsidRPr="009B4A70">
              <w:rPr>
                <w:rFonts w:ascii="Garamond" w:hAnsi="Garamond" w:cs="Mangal"/>
                <w:lang w:bidi="hi-IN"/>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Shree Ramkrishna Electro Controls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B4A70">
              <w:rPr>
                <w:rFonts w:ascii="Garamond" w:hAnsi="Garamond" w:cs="Mangal"/>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Shree Ramkrishna Electro Controls Ltd., Chandrakant Bhargav Gole, Varsha Chandrakant Gole, Deepali Shriram Karandikar, Moreshwar Narayan Joshi</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shd w:val="clear" w:color="auto" w:fill="FFFFFF"/>
              <w:jc w:val="both"/>
              <w:rPr>
                <w:rFonts w:ascii="Garamond" w:hAnsi="Garamond"/>
              </w:rPr>
            </w:pPr>
            <w:r w:rsidRPr="009B4A70">
              <w:rPr>
                <w:rFonts w:ascii="Garamond" w:eastAsia="Times New Roman" w:hAnsi="Garamond" w:cs="Calibri"/>
                <w:color w:val="000000"/>
              </w:rPr>
              <w:t>Section 56 (1), 56 (3), 60, 73 read with Section 73 of the Companies Act, 1956 and provisions of DIP Guidelines.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right"/>
              <w:rPr>
                <w:rFonts w:ascii="Garamond" w:hAnsi="Garamond"/>
              </w:rPr>
            </w:pPr>
            <w:r w:rsidRPr="00966FBB">
              <w:rPr>
                <w:rFonts w:ascii="Garamond" w:hAnsi="Garamond"/>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66FBB">
              <w:rPr>
                <w:rFonts w:ascii="Garamond" w:hAnsi="Garamond"/>
              </w:rPr>
              <w:t>15/12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GDR Issue by Winsome Textile Industries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34D6C" w:rsidP="00530909">
            <w:pPr>
              <w:jc w:val="both"/>
              <w:rPr>
                <w:rFonts w:ascii="Garamond" w:hAnsi="Garamond"/>
              </w:rPr>
            </w:pPr>
            <w:r w:rsidRPr="009B4A70">
              <w:rPr>
                <w:rFonts w:ascii="Garamond" w:eastAsia="Times New Roman" w:hAnsi="Garamond" w:cs="Calibri"/>
                <w:color w:val="000000"/>
              </w:rPr>
              <w:t xml:space="preserve">Winsome Textile Industries Ltd, Mr. Arun Panchariya, Vintage  FZE  (now  known  as  Alta Vista International FZE), Aspire Emerging Fund, Mr. Satish Bagrodia, Mr. Ashish Bagrodia, Mr. Manish </w:t>
            </w:r>
            <w:r w:rsidRPr="009B4A70">
              <w:rPr>
                <w:rFonts w:ascii="Garamond" w:eastAsia="Times New Roman" w:hAnsi="Garamond" w:cs="Calibri"/>
                <w:color w:val="000000"/>
              </w:rPr>
              <w:lastRenderedPageBreak/>
              <w:t>Bagrodia &amp; 10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714725" w:rsidP="00530909">
            <w:pPr>
              <w:shd w:val="clear" w:color="auto" w:fill="FFFFFF"/>
              <w:jc w:val="both"/>
              <w:rPr>
                <w:rFonts w:ascii="Garamond" w:hAnsi="Garamond"/>
              </w:rPr>
            </w:pPr>
            <w:r w:rsidRPr="009B4A70">
              <w:rPr>
                <w:rFonts w:ascii="Garamond" w:eastAsia="Times New Roman" w:hAnsi="Garamond" w:cs="Calibri"/>
                <w:color w:val="000000"/>
              </w:rPr>
              <w:lastRenderedPageBreak/>
              <w:t>Section 12A (a) of SEBI Act, 1992 read with Regulations 3 (b) and 4(1), (2)(f), (k)&amp;(r)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714725" w:rsidP="00E16041">
            <w:pPr>
              <w:jc w:val="right"/>
              <w:rPr>
                <w:rFonts w:ascii="Garamond" w:hAnsi="Garamond"/>
              </w:rPr>
            </w:pPr>
            <w:r w:rsidRPr="009B4A70">
              <w:rPr>
                <w:rFonts w:ascii="Garamond" w:eastAsia="Times New Roman" w:hAnsi="Garamond" w:cs="Calibri"/>
                <w:color w:val="000000"/>
              </w:rPr>
              <w:t>72,66,00,000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lastRenderedPageBreak/>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rPr>
              <w:t>21/12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Nu Tek India Limited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cs="Mangal"/>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Nu Tek India Limited-Vineet Aggarwal, Mr. Inder Sharma, Mrs. Sumati Sharma, Mr. Ayub Yaeguang Younes, Mr. Amar Sarin, Mr. Rajiv Kumar, Mr. Ashish Banker, M/s SumanJeet Agarwal&amp; Co. Chartered Accountants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714725" w:rsidP="00530909">
            <w:pPr>
              <w:shd w:val="clear" w:color="auto" w:fill="FFFFFF"/>
              <w:jc w:val="both"/>
              <w:rPr>
                <w:rFonts w:ascii="Garamond" w:hAnsi="Garamond" w:cs="Mangal"/>
              </w:rPr>
            </w:pPr>
            <w:r w:rsidRPr="00966FBB">
              <w:rPr>
                <w:rFonts w:ascii="Garamond" w:hAnsi="Garamond" w:cs="Calibri"/>
                <w:color w:val="000000"/>
              </w:rPr>
              <w:t>Regulation 4(1)(a), (b), (c), (e) and (g) of LODR Regulations ;  Regulation 17(8) read  PartB  of Schedule II of LODR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2D3AEB">
            <w:pPr>
              <w:jc w:val="center"/>
              <w:rPr>
                <w:rFonts w:ascii="Garamond" w:hAnsi="Garamond" w:cs="Mangal"/>
              </w:rPr>
            </w:pPr>
            <w:r w:rsidRPr="00966FBB">
              <w:rPr>
                <w:rFonts w:ascii="Garamond" w:hAnsi="Garamond" w:cs="Calibri"/>
                <w:color w:val="000000"/>
              </w:rPr>
              <w:t>43,60,000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rPr>
              <w:t>21/12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K-Lifestyle &amp; Industries Limited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cs="Mangal"/>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K-Lifestyle &amp; Industries Limited, Narayan Ghumatkar, Jaiprakash Mishra, P. S. Pritam, Pravin Kumar, Manasi Indrajit Wadkar, Rajendra Pathak , M/s Rishi Sekri and Associates Chartered Accountants, M/s A F Khasgiwala Chartered Accountants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714725" w:rsidP="00530909">
            <w:pPr>
              <w:shd w:val="clear" w:color="auto" w:fill="FFFFFF"/>
              <w:jc w:val="both"/>
              <w:rPr>
                <w:rFonts w:ascii="Garamond" w:hAnsi="Garamond" w:cs="Mangal"/>
              </w:rPr>
            </w:pPr>
            <w:r w:rsidRPr="00966FBB">
              <w:rPr>
                <w:rFonts w:ascii="Garamond" w:hAnsi="Garamond" w:cs="Calibri"/>
                <w:color w:val="000000"/>
              </w:rPr>
              <w:t>Section 12A (a) (b) and(c), 11(2)(i) and 11(2)(ia)of the SEBI Act, 1992 and Regulations3(b) (c), (d) and 4(1) and 4(2), (a), (e), (f) and(r) of the SEBI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right"/>
              <w:rPr>
                <w:rFonts w:ascii="Garamond" w:hAnsi="Garamond" w:cs="Mangal"/>
              </w:rPr>
            </w:pPr>
            <w:r w:rsidRPr="00966FBB">
              <w:rPr>
                <w:rFonts w:ascii="Garamond" w:hAnsi="Garamond" w:cs="Calibri"/>
                <w:color w:val="000000"/>
              </w:rPr>
              <w:t>57,00,000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rPr>
              <w:t>22/12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Trading of Mr. Anil Dave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cs="Mangal"/>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714725" w:rsidP="00530909">
            <w:pPr>
              <w:jc w:val="both"/>
              <w:rPr>
                <w:rFonts w:ascii="Garamond" w:hAnsi="Garamond" w:cs="Mangal"/>
              </w:rPr>
            </w:pPr>
            <w:r w:rsidRPr="00966FBB">
              <w:rPr>
                <w:rFonts w:ascii="Garamond" w:hAnsi="Garamond" w:cs="Calibri"/>
                <w:color w:val="000000"/>
              </w:rPr>
              <w:t>M/s.  Grishma  Securities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714725" w:rsidP="00530909">
            <w:pPr>
              <w:shd w:val="clear" w:color="auto" w:fill="FFFFFF"/>
              <w:jc w:val="both"/>
              <w:rPr>
                <w:rFonts w:ascii="Garamond" w:hAnsi="Garamond" w:cs="Mangal"/>
              </w:rPr>
            </w:pPr>
            <w:r w:rsidRPr="00966FBB">
              <w:rPr>
                <w:rFonts w:ascii="Garamond" w:hAnsi="Garamond" w:cs="Calibri"/>
                <w:color w:val="000000"/>
              </w:rPr>
              <w:t>Clauses A(1), A(2), A(4) &amp; A(5) of theCode of Conduct prescribed under Regulation 7 of the Brokers Regulations, 1992 for the stock brokers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right"/>
              <w:rPr>
                <w:rFonts w:ascii="Garamond" w:hAnsi="Garamond" w:cs="Mangal"/>
              </w:rPr>
            </w:pPr>
            <w:r w:rsidRPr="00966FBB">
              <w:rPr>
                <w:rFonts w:ascii="Garamond" w:hAnsi="Garamond"/>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66FBB">
              <w:rPr>
                <w:rFonts w:ascii="Garamond" w:hAnsi="Garamond"/>
              </w:rPr>
              <w:t>30/12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B4A70">
              <w:rPr>
                <w:rFonts w:ascii="Garamond" w:eastAsia="Times New Roman" w:hAnsi="Garamond" w:cs="Calibri"/>
                <w:color w:val="000000"/>
              </w:rPr>
              <w:t>Gold Crude Research</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cs="Mangal"/>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B4A70">
              <w:rPr>
                <w:rFonts w:ascii="Garamond" w:eastAsia="Times New Roman" w:hAnsi="Garamond" w:cs="Calibri"/>
                <w:color w:val="000000"/>
              </w:rPr>
              <w:t>Gold Crude Research (Prop. Ramnarayan Sharma)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940001" w:rsidP="00530909">
            <w:pPr>
              <w:shd w:val="clear" w:color="auto" w:fill="FFFFFF"/>
              <w:jc w:val="both"/>
              <w:rPr>
                <w:rFonts w:ascii="Garamond" w:hAnsi="Garamond" w:cs="Mangal"/>
              </w:rPr>
            </w:pPr>
            <w:r w:rsidRPr="009B4A70">
              <w:rPr>
                <w:rFonts w:ascii="Garamond" w:eastAsia="Times New Roman" w:hAnsi="Garamond" w:cs="Calibri"/>
                <w:color w:val="000000"/>
              </w:rPr>
              <w:t>Regulation 3(1) of the IA Regulations, 2013 as well as Regulations 3 (a),4(1) and 4(2)(k)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right"/>
              <w:rPr>
                <w:rFonts w:ascii="Garamond" w:hAnsi="Garamond" w:cs="Mangal"/>
              </w:rPr>
            </w:pPr>
            <w:r w:rsidRPr="009B4A70">
              <w:rPr>
                <w:rFonts w:ascii="Garamond" w:eastAsia="Times New Roman" w:hAnsi="Garamond" w:cs="Calibri"/>
                <w:color w:val="000000"/>
              </w:rPr>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956136" w:rsidP="00530909">
            <w:pPr>
              <w:jc w:val="both"/>
              <w:rPr>
                <w:rFonts w:ascii="Garamond" w:hAnsi="Garamond"/>
                <w:color w:val="000000"/>
                <w:lang w:val="en-IN" w:eastAsia="en-IN" w:bidi="hi-IN"/>
              </w:rPr>
            </w:pPr>
            <w:r w:rsidRPr="00966FBB">
              <w:rPr>
                <w:rFonts w:ascii="Garamond" w:hAnsi="Garamond"/>
                <w:color w:val="000000"/>
                <w:lang w:val="en-IN" w:eastAsia="en-IN" w:bidi="hi-IN"/>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66FBB">
              <w:rPr>
                <w:rFonts w:ascii="Garamond" w:hAnsi="Garamond"/>
              </w:rPr>
              <w:t>30/12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B4A70">
              <w:rPr>
                <w:rFonts w:ascii="Garamond" w:eastAsia="Times New Roman" w:hAnsi="Garamond" w:cs="Calibri"/>
                <w:color w:val="000000"/>
              </w:rPr>
              <w:t>Monarch Networth Capital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cs="Mangal"/>
              </w:rPr>
            </w:pPr>
            <w:r w:rsidRPr="00966FBB">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both"/>
              <w:rPr>
                <w:rFonts w:ascii="Garamond" w:hAnsi="Garamond" w:cs="Mangal"/>
              </w:rPr>
            </w:pPr>
            <w:r w:rsidRPr="009B4A70">
              <w:rPr>
                <w:rFonts w:ascii="Garamond" w:eastAsia="Times New Roman" w:hAnsi="Garamond" w:cs="Calibri"/>
                <w:color w:val="000000"/>
              </w:rPr>
              <w:t>Monarch Networth Capital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940001" w:rsidP="00530909">
            <w:pPr>
              <w:shd w:val="clear" w:color="auto" w:fill="FFFFFF"/>
              <w:jc w:val="both"/>
              <w:rPr>
                <w:rFonts w:ascii="Garamond" w:hAnsi="Garamond" w:cs="Mangal"/>
              </w:rPr>
            </w:pPr>
            <w:r w:rsidRPr="009B4A70">
              <w:rPr>
                <w:rFonts w:ascii="Garamond" w:eastAsia="Times New Roman" w:hAnsi="Garamond" w:cs="Calibri"/>
                <w:color w:val="000000"/>
              </w:rPr>
              <w:t xml:space="preserve">Regulations  27(xv)  and  27  (xvii)  read  with  Regulations  26(xv)  of  the  Broker Regulations and clause A (1), A (2) and A (5) of the code of </w:t>
            </w:r>
            <w:r w:rsidRPr="009B4A70">
              <w:rPr>
                <w:rFonts w:ascii="Garamond" w:eastAsia="Times New Roman" w:hAnsi="Garamond" w:cs="Calibri"/>
                <w:color w:val="000000"/>
              </w:rPr>
              <w:lastRenderedPageBreak/>
              <w:t>Conduct for Brokers as  specified  in  Schedule  II  under  Regulation 9of  the  said  Regulations  as alleged in the SCN</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40001" w:rsidP="00530909">
            <w:pPr>
              <w:jc w:val="right"/>
              <w:rPr>
                <w:rFonts w:ascii="Garamond" w:hAnsi="Garamond" w:cs="Mangal"/>
              </w:rPr>
            </w:pPr>
            <w:r w:rsidRPr="009B4A70">
              <w:rPr>
                <w:rFonts w:ascii="Garamond" w:eastAsia="Times New Roman" w:hAnsi="Garamond" w:cs="Calibri"/>
                <w:color w:val="000000"/>
              </w:rPr>
              <w:lastRenderedPageBreak/>
              <w:t>-</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lastRenderedPageBreak/>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rPr>
              <w:t>03/12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B4A70">
              <w:rPr>
                <w:rFonts w:ascii="Garamond" w:eastAsia="Times New Roman" w:hAnsi="Garamond" w:cs="Calibri"/>
                <w:color w:val="000000"/>
              </w:rPr>
              <w:t>Kalpa Commercial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B4A70">
              <w:rPr>
                <w:rFonts w:ascii="Garamond" w:eastAsia="Times New Roman" w:hAnsi="Garamond" w:cs="Calibri"/>
                <w:color w:val="000000"/>
              </w:rPr>
              <w:t>Hetalben Chandrakant Dhruv, Radhika Chandrakant Dhruv</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245FA4" w:rsidP="00530909">
            <w:pPr>
              <w:shd w:val="clear" w:color="auto" w:fill="FFFFFF"/>
              <w:jc w:val="both"/>
              <w:rPr>
                <w:rFonts w:ascii="Garamond" w:hAnsi="Garamond"/>
              </w:rPr>
            </w:pPr>
            <w:r w:rsidRPr="009B4A70">
              <w:rPr>
                <w:rFonts w:ascii="Garamond" w:eastAsia="Times New Roman" w:hAnsi="Garamond" w:cs="Calibri"/>
                <w:color w:val="000000"/>
              </w:rPr>
              <w:t>Section 16 of SCRA read with SEBI Notification G.S.R 219(E) dated October 3, 2013, Sections 13 and 18, read with Section 2(i) of SCRA</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right"/>
              <w:rPr>
                <w:rFonts w:ascii="Garamond" w:hAnsi="Garamond"/>
              </w:rPr>
            </w:pPr>
            <w:r w:rsidRPr="00966FBB">
              <w:rPr>
                <w:rFonts w:ascii="Garamond" w:hAnsi="Garamond"/>
              </w:rPr>
              <w:t>2</w:t>
            </w:r>
            <w:r w:rsidR="00956136" w:rsidRPr="00966FBB">
              <w:rPr>
                <w:rFonts w:ascii="Garamond" w:hAnsi="Garamond"/>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rPr>
              <w:t>03/12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B4A70">
              <w:rPr>
                <w:rFonts w:ascii="Garamond" w:eastAsia="Times New Roman" w:hAnsi="Garamond" w:cs="Calibri"/>
                <w:color w:val="000000"/>
              </w:rPr>
              <w:t>Bimla Devi Mundra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66FBB" w:rsidRDefault="00245FA4" w:rsidP="00530909">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66FBB" w:rsidRDefault="00956136" w:rsidP="00530909">
            <w:pPr>
              <w:jc w:val="right"/>
              <w:rPr>
                <w:rFonts w:ascii="Garamond" w:hAnsi="Garamond"/>
              </w:rPr>
            </w:pPr>
            <w:r w:rsidRPr="00966FBB">
              <w:rPr>
                <w:rFonts w:ascii="Garamond" w:hAnsi="Garamond"/>
              </w:rPr>
              <w:t>5,00,000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66FBB">
              <w:rPr>
                <w:rFonts w:ascii="Garamond" w:hAnsi="Garamond"/>
              </w:rPr>
              <w:t>06/12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Multipurpose Trading and Agencies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lang w:val="en-IN"/>
              </w:rPr>
            </w:pPr>
            <w:r w:rsidRPr="00966FBB">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Divine Comex Enterprises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245FA4" w:rsidP="00530909">
            <w:pPr>
              <w:shd w:val="clear" w:color="auto" w:fill="FFFFFF"/>
              <w:jc w:val="both"/>
              <w:rPr>
                <w:rFonts w:ascii="Garamond" w:hAnsi="Garamond"/>
                <w:lang w:val="en-IN"/>
              </w:rPr>
            </w:pPr>
            <w:r w:rsidRPr="009B4A70">
              <w:rPr>
                <w:rFonts w:ascii="Garamond" w:eastAsia="Times New Roman" w:hAnsi="Garamond" w:cs="Calibri"/>
                <w:color w:val="000000"/>
              </w:rPr>
              <w:t>Regulations  29(1)  read  with  29(3)  of  SAST  Regulations 2011.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right"/>
              <w:rPr>
                <w:rFonts w:ascii="Garamond" w:hAnsi="Garamond"/>
                <w:lang w:val="en-IN"/>
              </w:rPr>
            </w:pPr>
            <w:r w:rsidRPr="00966FBB">
              <w:rPr>
                <w:rFonts w:ascii="Garamond" w:hAnsi="Garamond"/>
              </w:rPr>
              <w:t>1</w:t>
            </w:r>
            <w:r w:rsidR="00956136" w:rsidRPr="00966FBB">
              <w:rPr>
                <w:rFonts w:ascii="Garamond" w:hAnsi="Garamond"/>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66FBB">
              <w:rPr>
                <w:rFonts w:ascii="Garamond" w:hAnsi="Garamond"/>
              </w:rPr>
              <w:t>06/12</w:t>
            </w:r>
            <w:r w:rsidR="00956136" w:rsidRPr="00966FBB">
              <w:rPr>
                <w:rFonts w:ascii="Garamond" w:hAnsi="Garamond"/>
              </w:rPr>
              <w:t>/2021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Multipurpose Trading and Agencies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lang w:val="en-IN"/>
              </w:rPr>
            </w:pPr>
            <w:r w:rsidRPr="00966FBB">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Bluebell Agencies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9B4A70" w:rsidRDefault="00245FA4" w:rsidP="00530909">
            <w:pPr>
              <w:shd w:val="clear" w:color="auto" w:fill="FFFFFF"/>
              <w:jc w:val="both"/>
              <w:rPr>
                <w:rFonts w:ascii="Garamond" w:hAnsi="Garamond"/>
                <w:lang w:val="en-IN"/>
              </w:rPr>
            </w:pPr>
            <w:r w:rsidRPr="009B4A70">
              <w:rPr>
                <w:rFonts w:ascii="Garamond" w:eastAsia="Times New Roman" w:hAnsi="Garamond" w:cs="Calibri"/>
                <w:color w:val="000000"/>
              </w:rPr>
              <w:t>Regulations  29(1)  read  with  29(3)  of  SAST  Regulations 2011.</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9B4A70" w:rsidRDefault="00245FA4" w:rsidP="00530909">
            <w:pPr>
              <w:jc w:val="right"/>
              <w:rPr>
                <w:rFonts w:ascii="Garamond" w:hAnsi="Garamond"/>
                <w:lang w:val="en-IN"/>
              </w:rPr>
            </w:pPr>
            <w:r w:rsidRPr="00966FBB">
              <w:rPr>
                <w:rFonts w:ascii="Garamond" w:hAnsi="Garamond"/>
              </w:rPr>
              <w:t>1</w:t>
            </w:r>
            <w:r w:rsidR="00956136" w:rsidRPr="00966FBB">
              <w:rPr>
                <w:rFonts w:ascii="Garamond" w:hAnsi="Garamond"/>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66FBB">
              <w:rPr>
                <w:rFonts w:ascii="Garamond" w:hAnsi="Garamond" w:cs="Calibri"/>
                <w:color w:val="000000"/>
                <w:lang w:bidi="hi-IN"/>
              </w:rPr>
              <w:t>07/12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lang w:val="en-IN"/>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Abhishek Agrawal</w:t>
            </w:r>
          </w:p>
        </w:tc>
        <w:tc>
          <w:tcPr>
            <w:tcW w:w="2268" w:type="dxa"/>
            <w:tcBorders>
              <w:top w:val="nil"/>
              <w:left w:val="nil"/>
              <w:bottom w:val="single" w:sz="4" w:space="0" w:color="auto"/>
              <w:right w:val="single" w:sz="4" w:space="0" w:color="auto"/>
            </w:tcBorders>
            <w:shd w:val="clear" w:color="auto" w:fill="auto"/>
          </w:tcPr>
          <w:p w:rsidR="00956136" w:rsidRPr="009B4A70" w:rsidRDefault="00245FA4" w:rsidP="00530909">
            <w:pPr>
              <w:shd w:val="clear" w:color="auto" w:fill="FFFFFF"/>
              <w:jc w:val="both"/>
              <w:rPr>
                <w:rFonts w:ascii="Garamond" w:hAnsi="Garamond"/>
                <w:lang w:val="en-IN"/>
              </w:rPr>
            </w:pPr>
            <w:r w:rsidRPr="009B4A70">
              <w:rPr>
                <w:rFonts w:ascii="Garamond" w:eastAsia="Times New Roman" w:hAnsi="Garamond" w:cs="Calibri"/>
                <w:color w:val="000000"/>
              </w:rPr>
              <w:t>Regulations 3(a),(b),(c),(d),4(1)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B4A70" w:rsidRDefault="00245FA4" w:rsidP="00530909">
            <w:pPr>
              <w:jc w:val="right"/>
              <w:rPr>
                <w:rFonts w:ascii="Garamond" w:hAnsi="Garamond"/>
                <w:lang w:val="en-IN"/>
              </w:rPr>
            </w:pPr>
            <w:r w:rsidRPr="00966FBB">
              <w:rPr>
                <w:rFonts w:ascii="Garamond" w:hAnsi="Garamond" w:cs="Calibri"/>
                <w:color w:val="000000"/>
                <w:lang w:bidi="hi-IN"/>
              </w:rPr>
              <w:t>5</w:t>
            </w:r>
            <w:r w:rsidR="00956136"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17</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66FBB">
              <w:rPr>
                <w:rFonts w:ascii="Garamond" w:hAnsi="Garamond" w:cs="Calibri"/>
                <w:color w:val="000000"/>
                <w:lang w:bidi="hi-IN"/>
              </w:rPr>
              <w:t>07/12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lang w:val="en-IN"/>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B4A70">
              <w:rPr>
                <w:rFonts w:ascii="Garamond" w:eastAsia="Times New Roman" w:hAnsi="Garamond" w:cs="Calibri"/>
                <w:color w:val="000000"/>
              </w:rPr>
              <w:t>Radha A Gupta</w:t>
            </w:r>
          </w:p>
        </w:tc>
        <w:tc>
          <w:tcPr>
            <w:tcW w:w="2268" w:type="dxa"/>
            <w:tcBorders>
              <w:top w:val="nil"/>
              <w:left w:val="nil"/>
              <w:bottom w:val="single" w:sz="4" w:space="0" w:color="auto"/>
              <w:right w:val="single" w:sz="4" w:space="0" w:color="auto"/>
            </w:tcBorders>
            <w:shd w:val="clear" w:color="auto" w:fill="auto"/>
          </w:tcPr>
          <w:p w:rsidR="00956136" w:rsidRPr="009B4A70" w:rsidRDefault="00245FA4" w:rsidP="00530909">
            <w:pPr>
              <w:shd w:val="clear" w:color="auto" w:fill="FFFFFF"/>
              <w:jc w:val="both"/>
              <w:rPr>
                <w:rFonts w:ascii="Garamond" w:hAnsi="Garamond"/>
                <w:lang w:val="en-IN"/>
              </w:rPr>
            </w:pPr>
            <w:r w:rsidRPr="009B4A70">
              <w:rPr>
                <w:rFonts w:ascii="Garamond" w:eastAsia="Times New Roman" w:hAnsi="Garamond" w:cs="Calibri"/>
                <w:color w:val="000000"/>
              </w:rPr>
              <w:t>Regulations 3(a),(b),(c),(d),4(1)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B4A70" w:rsidRDefault="00245FA4" w:rsidP="00530909">
            <w:pPr>
              <w:jc w:val="right"/>
              <w:rPr>
                <w:rFonts w:ascii="Garamond" w:hAnsi="Garamond"/>
                <w:lang w:val="en-IN"/>
              </w:rPr>
            </w:pPr>
            <w:r w:rsidRPr="00966FBB">
              <w:rPr>
                <w:rFonts w:ascii="Garamond" w:hAnsi="Garamond" w:cs="Calibri"/>
                <w:color w:val="000000"/>
                <w:lang w:bidi="hi-IN"/>
              </w:rPr>
              <w:t>5</w:t>
            </w:r>
            <w:r w:rsidR="00D66B3E"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18</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B4A70" w:rsidRDefault="00245FA4" w:rsidP="00530909">
            <w:pPr>
              <w:jc w:val="both"/>
              <w:rPr>
                <w:rFonts w:ascii="Garamond" w:hAnsi="Garamond"/>
                <w:lang w:val="en-IN"/>
              </w:rPr>
            </w:pPr>
            <w:r w:rsidRPr="00966FBB">
              <w:rPr>
                <w:rFonts w:ascii="Garamond" w:hAnsi="Garamond" w:cs="Calibri"/>
                <w:color w:val="000000"/>
                <w:lang w:bidi="hi-IN"/>
              </w:rPr>
              <w:t>08/12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B4A70" w:rsidRDefault="00E01CC1" w:rsidP="00530909">
            <w:pPr>
              <w:jc w:val="both"/>
              <w:rPr>
                <w:rFonts w:ascii="Garamond" w:hAnsi="Garamond"/>
                <w:lang w:val="en-IN"/>
              </w:rPr>
            </w:pPr>
            <w:r w:rsidRPr="009B4A70">
              <w:rPr>
                <w:rFonts w:ascii="Garamond" w:eastAsia="Times New Roman"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9B4A70" w:rsidRDefault="00956136" w:rsidP="00530909">
            <w:pPr>
              <w:jc w:val="both"/>
              <w:rPr>
                <w:rFonts w:ascii="Garamond" w:hAnsi="Garamond"/>
                <w:lang w:val="en-IN"/>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B4A70" w:rsidRDefault="00265D60" w:rsidP="00530909">
            <w:pPr>
              <w:jc w:val="both"/>
              <w:rPr>
                <w:rFonts w:ascii="Garamond" w:hAnsi="Garamond"/>
                <w:lang w:val="en-IN"/>
              </w:rPr>
            </w:pPr>
            <w:r w:rsidRPr="009B4A70">
              <w:rPr>
                <w:rFonts w:ascii="Garamond" w:eastAsia="Times New Roman" w:hAnsi="Garamond" w:cs="Calibri"/>
                <w:color w:val="000000"/>
              </w:rPr>
              <w:t>Rajendra D Thakar</w:t>
            </w:r>
          </w:p>
        </w:tc>
        <w:tc>
          <w:tcPr>
            <w:tcW w:w="2268" w:type="dxa"/>
            <w:tcBorders>
              <w:top w:val="nil"/>
              <w:left w:val="nil"/>
              <w:bottom w:val="single" w:sz="4" w:space="0" w:color="auto"/>
              <w:right w:val="single" w:sz="4" w:space="0" w:color="auto"/>
            </w:tcBorders>
            <w:shd w:val="clear" w:color="auto" w:fill="auto"/>
          </w:tcPr>
          <w:p w:rsidR="00956136" w:rsidRPr="009B4A70" w:rsidRDefault="00265D60" w:rsidP="00530909">
            <w:pPr>
              <w:shd w:val="clear" w:color="auto" w:fill="FFFFFF"/>
              <w:jc w:val="both"/>
              <w:rPr>
                <w:rFonts w:ascii="Garamond" w:hAnsi="Garamond"/>
                <w:lang w:val="en-IN"/>
              </w:rPr>
            </w:pPr>
            <w:r w:rsidRPr="009B4A70">
              <w:rPr>
                <w:rFonts w:ascii="Garamond" w:eastAsia="Times New Roman" w:hAnsi="Garamond" w:cs="Calibri"/>
                <w:color w:val="000000"/>
              </w:rPr>
              <w:t>Regulations 3(a), (b), (c), (d), 4(1) and 4(2)(a)of the PFUTP Regulations.</w:t>
            </w:r>
            <w:r w:rsidR="008875DC" w:rsidRPr="009B4A70">
              <w:rPr>
                <w:rFonts w:ascii="Garamond" w:eastAsia="Times New Roman" w:hAnsi="Garamond" w:cs="Calibri"/>
                <w:color w:val="000000"/>
              </w:rPr>
              <w:t>.</w:t>
            </w:r>
          </w:p>
        </w:tc>
        <w:tc>
          <w:tcPr>
            <w:tcW w:w="1417" w:type="dxa"/>
            <w:tcBorders>
              <w:top w:val="nil"/>
              <w:left w:val="nil"/>
              <w:bottom w:val="single" w:sz="4" w:space="0" w:color="auto"/>
              <w:right w:val="single" w:sz="4" w:space="0" w:color="auto"/>
            </w:tcBorders>
            <w:shd w:val="clear" w:color="auto" w:fill="auto"/>
            <w:noWrap/>
          </w:tcPr>
          <w:p w:rsidR="00956136" w:rsidRPr="009B4A70" w:rsidRDefault="00265D60" w:rsidP="00530909">
            <w:pPr>
              <w:jc w:val="right"/>
              <w:rPr>
                <w:rFonts w:ascii="Garamond" w:hAnsi="Garamond"/>
                <w:lang w:val="en-IN"/>
              </w:rPr>
            </w:pPr>
            <w:r w:rsidRPr="009B4A70">
              <w:rPr>
                <w:rFonts w:ascii="Garamond" w:eastAsia="Times New Roman" w:hAnsi="Garamond" w:cs="Calibri"/>
                <w:color w:val="000000"/>
              </w:rPr>
              <w:t xml:space="preserve">       5</w:t>
            </w:r>
            <w:r w:rsidR="008875DC" w:rsidRPr="009B4A70">
              <w:rPr>
                <w:rFonts w:ascii="Garamond" w:eastAsia="Times New Roman" w:hAnsi="Garamond" w:cs="Calibri"/>
                <w:color w:val="000000"/>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19</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cs="Calibri"/>
                <w:color w:val="000000"/>
                <w:lang w:bidi="hi-IN"/>
              </w:rPr>
              <w:t>08/12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E01CC1" w:rsidP="00530909">
            <w:pPr>
              <w:jc w:val="both"/>
              <w:rPr>
                <w:rFonts w:ascii="Garamond" w:hAnsi="Garamond"/>
              </w:rPr>
            </w:pPr>
            <w:r w:rsidRPr="009B4A70">
              <w:rPr>
                <w:rFonts w:ascii="Garamond" w:eastAsia="Times New Roman"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Rajender Kumar Jain</w:t>
            </w:r>
          </w:p>
        </w:tc>
        <w:tc>
          <w:tcPr>
            <w:tcW w:w="2268" w:type="dxa"/>
            <w:tcBorders>
              <w:top w:val="nil"/>
              <w:left w:val="nil"/>
              <w:bottom w:val="single" w:sz="4" w:space="0" w:color="auto"/>
              <w:right w:val="single" w:sz="4" w:space="0" w:color="auto"/>
            </w:tcBorders>
            <w:shd w:val="clear" w:color="auto" w:fill="auto"/>
          </w:tcPr>
          <w:p w:rsidR="00956136" w:rsidRPr="00966FBB" w:rsidRDefault="00265D60" w:rsidP="00530909">
            <w:pPr>
              <w:shd w:val="clear" w:color="auto" w:fill="FFFFFF"/>
              <w:jc w:val="both"/>
              <w:rPr>
                <w:rFonts w:ascii="Garamond" w:hAnsi="Garamond"/>
              </w:rPr>
            </w:pPr>
            <w:r w:rsidRPr="009B4A70">
              <w:rPr>
                <w:rFonts w:ascii="Garamond" w:eastAsia="Times New Roman" w:hAnsi="Garamond" w:cs="Calibri"/>
                <w:color w:val="000000"/>
              </w:rPr>
              <w:t>Regulations 3(a), (b), (c), (d), 4(1) and 4(2)(a)of the PFUTP Regulations.</w:t>
            </w:r>
          </w:p>
        </w:tc>
        <w:tc>
          <w:tcPr>
            <w:tcW w:w="1417" w:type="dxa"/>
            <w:tcBorders>
              <w:top w:val="nil"/>
              <w:left w:val="nil"/>
              <w:bottom w:val="single" w:sz="4" w:space="0" w:color="auto"/>
              <w:right w:val="single" w:sz="4" w:space="0" w:color="auto"/>
            </w:tcBorders>
            <w:shd w:val="clear" w:color="auto" w:fill="auto"/>
            <w:noWrap/>
          </w:tcPr>
          <w:p w:rsidR="00956136" w:rsidRPr="00966FBB" w:rsidRDefault="00371DD7" w:rsidP="00530909">
            <w:pPr>
              <w:jc w:val="right"/>
              <w:rPr>
                <w:rFonts w:ascii="Garamond" w:hAnsi="Garamond"/>
              </w:rPr>
            </w:pPr>
            <w:r w:rsidRPr="00966FBB">
              <w:rPr>
                <w:rFonts w:ascii="Garamond" w:hAnsi="Garamond" w:cs="Calibri"/>
                <w:color w:val="000000"/>
                <w:lang w:bidi="hi-IN"/>
              </w:rPr>
              <w:t>5</w:t>
            </w:r>
            <w:r w:rsidR="00956136"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20</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cs="Calibri"/>
                <w:color w:val="000000"/>
                <w:lang w:bidi="hi-IN"/>
              </w:rPr>
              <w:t>08/12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E01CC1" w:rsidP="00530909">
            <w:pPr>
              <w:jc w:val="both"/>
              <w:rPr>
                <w:rFonts w:ascii="Garamond" w:hAnsi="Garamond"/>
              </w:rPr>
            </w:pPr>
            <w:r w:rsidRPr="009B4A70">
              <w:rPr>
                <w:rFonts w:ascii="Garamond" w:eastAsia="Times New Roman" w:hAnsi="Garamond" w:cs="Calibri"/>
                <w:color w:val="000000"/>
              </w:rPr>
              <w:t xml:space="preserve">Dealings in Illiquid Stock Options at  BSE </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Abhishek Agarwal</w:t>
            </w:r>
          </w:p>
        </w:tc>
        <w:tc>
          <w:tcPr>
            <w:tcW w:w="2268" w:type="dxa"/>
            <w:tcBorders>
              <w:top w:val="nil"/>
              <w:left w:val="nil"/>
              <w:bottom w:val="single" w:sz="4" w:space="0" w:color="auto"/>
              <w:right w:val="single" w:sz="4" w:space="0" w:color="auto"/>
            </w:tcBorders>
            <w:shd w:val="clear" w:color="auto" w:fill="auto"/>
          </w:tcPr>
          <w:p w:rsidR="00956136" w:rsidRPr="00966FBB" w:rsidRDefault="00265D60" w:rsidP="00530909">
            <w:pPr>
              <w:shd w:val="clear" w:color="auto" w:fill="FFFFFF"/>
              <w:jc w:val="both"/>
              <w:rPr>
                <w:rFonts w:ascii="Garamond" w:hAnsi="Garamond"/>
              </w:rPr>
            </w:pPr>
            <w:r w:rsidRPr="009B4A70">
              <w:rPr>
                <w:rFonts w:ascii="Garamond" w:eastAsia="Times New Roman" w:hAnsi="Garamond" w:cs="Calibri"/>
                <w:color w:val="000000"/>
              </w:rPr>
              <w:t>Regulations 3(a), (b), (c), (d), 4(1) and 4(2)(a)of the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66FBB" w:rsidRDefault="00371DD7" w:rsidP="00530909">
            <w:pPr>
              <w:jc w:val="right"/>
              <w:rPr>
                <w:rFonts w:ascii="Garamond" w:hAnsi="Garamond"/>
              </w:rPr>
            </w:pPr>
            <w:r w:rsidRPr="00966FBB">
              <w:rPr>
                <w:rFonts w:ascii="Garamond" w:hAnsi="Garamond" w:cs="Calibri"/>
                <w:color w:val="000000"/>
                <w:lang w:bidi="hi-IN"/>
              </w:rPr>
              <w:t>5</w:t>
            </w:r>
            <w:r w:rsidR="00956136"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21</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cs="Calibri"/>
                <w:color w:val="000000"/>
                <w:lang w:bidi="hi-IN"/>
              </w:rPr>
              <w:t>08/12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Dealings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Lotwala Mikil Vijaykumar (HUF)</w:t>
            </w:r>
          </w:p>
        </w:tc>
        <w:tc>
          <w:tcPr>
            <w:tcW w:w="2268" w:type="dxa"/>
            <w:tcBorders>
              <w:top w:val="nil"/>
              <w:left w:val="nil"/>
              <w:bottom w:val="single" w:sz="4" w:space="0" w:color="auto"/>
              <w:right w:val="single" w:sz="4" w:space="0" w:color="auto"/>
            </w:tcBorders>
            <w:shd w:val="clear" w:color="auto" w:fill="auto"/>
          </w:tcPr>
          <w:p w:rsidR="00956136" w:rsidRPr="00966FBB" w:rsidRDefault="00265D60" w:rsidP="00530909">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66FBB" w:rsidRDefault="004B3A7C" w:rsidP="00530909">
            <w:pPr>
              <w:jc w:val="right"/>
              <w:rPr>
                <w:rFonts w:ascii="Garamond" w:hAnsi="Garamond"/>
              </w:rPr>
            </w:pPr>
            <w:r w:rsidRPr="00966FBB">
              <w:rPr>
                <w:rFonts w:ascii="Garamond" w:hAnsi="Garamond" w:cs="Calibri"/>
                <w:color w:val="000000"/>
                <w:lang w:bidi="hi-IN"/>
              </w:rPr>
              <w:t>5</w:t>
            </w:r>
            <w:r w:rsidR="00956136"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22</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45FA4" w:rsidP="00530909">
            <w:pPr>
              <w:jc w:val="both"/>
              <w:rPr>
                <w:rFonts w:ascii="Garamond" w:hAnsi="Garamond"/>
              </w:rPr>
            </w:pPr>
            <w:r w:rsidRPr="00966FBB">
              <w:rPr>
                <w:rFonts w:ascii="Garamond" w:hAnsi="Garamond" w:cs="Calibri"/>
                <w:color w:val="000000"/>
                <w:lang w:bidi="hi-IN"/>
              </w:rPr>
              <w:t>08/12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Issue of GDR by Sterling Biotech Ltd.</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 xml:space="preserve">Mr. Nitin Sandesara, Mr. Chetan Sandesara, Mr. </w:t>
            </w:r>
            <w:r w:rsidRPr="009B4A70">
              <w:rPr>
                <w:rFonts w:ascii="Garamond" w:eastAsia="Times New Roman" w:hAnsi="Garamond" w:cs="Calibri"/>
                <w:color w:val="000000"/>
              </w:rPr>
              <w:lastRenderedPageBreak/>
              <w:t>Rajbhushan Dixit, Mr. Narendra Patel, Mr. Vilas Joshi, Mr. P B Mehta</w:t>
            </w:r>
          </w:p>
        </w:tc>
        <w:tc>
          <w:tcPr>
            <w:tcW w:w="2268" w:type="dxa"/>
            <w:tcBorders>
              <w:top w:val="nil"/>
              <w:left w:val="nil"/>
              <w:bottom w:val="single" w:sz="4" w:space="0" w:color="auto"/>
              <w:right w:val="single" w:sz="4" w:space="0" w:color="auto"/>
            </w:tcBorders>
            <w:shd w:val="clear" w:color="auto" w:fill="auto"/>
          </w:tcPr>
          <w:p w:rsidR="00956136" w:rsidRPr="00966FBB" w:rsidRDefault="00265D60" w:rsidP="00530909">
            <w:pPr>
              <w:shd w:val="clear" w:color="auto" w:fill="FFFFFF"/>
              <w:jc w:val="both"/>
              <w:rPr>
                <w:rFonts w:ascii="Garamond" w:hAnsi="Garamond"/>
              </w:rPr>
            </w:pPr>
            <w:r w:rsidRPr="009B4A70">
              <w:rPr>
                <w:rFonts w:ascii="Garamond" w:eastAsia="Times New Roman" w:hAnsi="Garamond" w:cs="Calibri"/>
                <w:color w:val="000000"/>
              </w:rPr>
              <w:lastRenderedPageBreak/>
              <w:t xml:space="preserve">Section 11C(2), 12A(a),  12A(b),  12A(c)  of SEBI Act </w:t>
            </w:r>
            <w:r w:rsidRPr="009B4A70">
              <w:rPr>
                <w:rFonts w:ascii="Garamond" w:eastAsia="Times New Roman" w:hAnsi="Garamond" w:cs="Calibri"/>
                <w:color w:val="000000"/>
              </w:rPr>
              <w:lastRenderedPageBreak/>
              <w:t>1992 r /w regulations 3 (a), (b), (c), (d) &amp;4(1) of SEBI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right"/>
              <w:rPr>
                <w:rFonts w:ascii="Garamond" w:hAnsi="Garamond"/>
              </w:rPr>
            </w:pPr>
            <w:r w:rsidRPr="009B4A70">
              <w:rPr>
                <w:rFonts w:ascii="Garamond" w:eastAsia="Times New Roman" w:hAnsi="Garamond" w:cs="Calibri"/>
                <w:color w:val="000000"/>
              </w:rPr>
              <w:lastRenderedPageBreak/>
              <w:t>1,30,00</w:t>
            </w:r>
            <w:r w:rsidR="004B3A7C" w:rsidRPr="009B4A70">
              <w:rPr>
                <w:rFonts w:ascii="Garamond" w:eastAsia="Times New Roman" w:hAnsi="Garamond" w:cs="Calibri"/>
                <w:color w:val="000000"/>
              </w:rPr>
              <w:t>,000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lastRenderedPageBreak/>
              <w:t>23</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66FBB">
              <w:rPr>
                <w:rFonts w:ascii="Garamond" w:hAnsi="Garamond" w:cs="Calibri"/>
                <w:color w:val="000000"/>
                <w:lang w:bidi="hi-IN"/>
              </w:rPr>
              <w:t>10/12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Abhisek Jaiswal</w:t>
            </w:r>
          </w:p>
        </w:tc>
        <w:tc>
          <w:tcPr>
            <w:tcW w:w="2268" w:type="dxa"/>
            <w:tcBorders>
              <w:top w:val="nil"/>
              <w:left w:val="nil"/>
              <w:bottom w:val="single" w:sz="4" w:space="0" w:color="auto"/>
              <w:right w:val="single" w:sz="4" w:space="0" w:color="auto"/>
            </w:tcBorders>
            <w:shd w:val="clear" w:color="auto" w:fill="auto"/>
          </w:tcPr>
          <w:p w:rsidR="00956136" w:rsidRPr="00966FBB" w:rsidRDefault="00956136" w:rsidP="00530909">
            <w:pPr>
              <w:shd w:val="clear" w:color="auto" w:fill="FFFFFF"/>
              <w:jc w:val="both"/>
              <w:rPr>
                <w:rFonts w:ascii="Garamond" w:hAnsi="Garamond"/>
              </w:rPr>
            </w:pPr>
            <w:r w:rsidRPr="00966FBB">
              <w:rPr>
                <w:rFonts w:ascii="Garamond" w:hAnsi="Garamond" w:cs="Calibri"/>
                <w:color w:val="000000"/>
                <w:lang w:bidi="hi-IN"/>
              </w:rPr>
              <w:t xml:space="preserve"> </w:t>
            </w:r>
            <w:r w:rsidR="00265D60" w:rsidRPr="009B4A70">
              <w:rPr>
                <w:rFonts w:ascii="Garamond" w:eastAsia="Times New Roman" w:hAnsi="Garamond" w:cs="Calibri"/>
                <w:color w:val="000000"/>
              </w:rPr>
              <w:t>Regulations 3(a),(b),(c),(d),4(1)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right"/>
              <w:rPr>
                <w:rFonts w:ascii="Garamond" w:hAnsi="Garamond"/>
              </w:rPr>
            </w:pPr>
            <w:r w:rsidRPr="009B4A70">
              <w:rPr>
                <w:rFonts w:ascii="Garamond" w:eastAsia="Times New Roman" w:hAnsi="Garamond" w:cs="Calibri"/>
                <w:color w:val="000000"/>
              </w:rPr>
              <w:t xml:space="preserve">         5</w:t>
            </w:r>
            <w:r w:rsidR="004B3A7C" w:rsidRPr="009B4A70">
              <w:rPr>
                <w:rFonts w:ascii="Garamond" w:eastAsia="Times New Roman" w:hAnsi="Garamond" w:cs="Calibri"/>
                <w:color w:val="000000"/>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24</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66FBB">
              <w:rPr>
                <w:rFonts w:ascii="Garamond" w:hAnsi="Garamond" w:cs="Calibri"/>
                <w:color w:val="000000"/>
                <w:lang w:bidi="hi-IN"/>
              </w:rPr>
              <w:t>10/12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265D60" w:rsidP="00530909">
            <w:pPr>
              <w:jc w:val="both"/>
              <w:rPr>
                <w:rFonts w:ascii="Garamond" w:hAnsi="Garamond"/>
              </w:rPr>
            </w:pPr>
            <w:r w:rsidRPr="009B4A70">
              <w:rPr>
                <w:rFonts w:ascii="Garamond" w:eastAsia="Times New Roman" w:hAnsi="Garamond" w:cs="Calibri"/>
                <w:color w:val="000000"/>
              </w:rPr>
              <w:t>Arun Kumar Choudhary HUF</w:t>
            </w:r>
          </w:p>
        </w:tc>
        <w:tc>
          <w:tcPr>
            <w:tcW w:w="2268" w:type="dxa"/>
            <w:tcBorders>
              <w:top w:val="nil"/>
              <w:left w:val="nil"/>
              <w:bottom w:val="single" w:sz="4" w:space="0" w:color="auto"/>
              <w:right w:val="single" w:sz="4" w:space="0" w:color="auto"/>
            </w:tcBorders>
            <w:shd w:val="clear" w:color="auto" w:fill="auto"/>
          </w:tcPr>
          <w:p w:rsidR="00956136" w:rsidRPr="00966FBB" w:rsidRDefault="00265D60" w:rsidP="00530909">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w:t>
            </w:r>
          </w:p>
        </w:tc>
        <w:tc>
          <w:tcPr>
            <w:tcW w:w="1417" w:type="dxa"/>
            <w:tcBorders>
              <w:top w:val="nil"/>
              <w:left w:val="nil"/>
              <w:bottom w:val="single" w:sz="4" w:space="0" w:color="auto"/>
              <w:right w:val="single" w:sz="4" w:space="0" w:color="auto"/>
            </w:tcBorders>
            <w:shd w:val="clear" w:color="auto" w:fill="auto"/>
            <w:noWrap/>
          </w:tcPr>
          <w:p w:rsidR="00956136" w:rsidRPr="00966FBB" w:rsidRDefault="00956136" w:rsidP="00530909">
            <w:pPr>
              <w:jc w:val="right"/>
              <w:rPr>
                <w:rFonts w:ascii="Garamond" w:hAnsi="Garamond"/>
              </w:rPr>
            </w:pPr>
            <w:r w:rsidRPr="00966FBB">
              <w:rPr>
                <w:rFonts w:ascii="Garamond" w:hAnsi="Garamond" w:cs="Calibri"/>
                <w:color w:val="000000"/>
                <w:lang w:bidi="hi-IN"/>
              </w:rPr>
              <w:t>5,00,000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3E6D2B" w:rsidP="00530909">
            <w:pPr>
              <w:jc w:val="both"/>
              <w:rPr>
                <w:rFonts w:ascii="Garamond" w:hAnsi="Garamond"/>
              </w:rPr>
            </w:pPr>
            <w:r w:rsidRPr="00966FBB">
              <w:rPr>
                <w:rFonts w:ascii="Garamond" w:hAnsi="Garamond" w:cs="Calibri"/>
                <w:color w:val="000000"/>
                <w:lang w:bidi="hi-IN"/>
              </w:rPr>
              <w:t>13/12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3E6D2B" w:rsidP="00530909">
            <w:pPr>
              <w:jc w:val="both"/>
              <w:rPr>
                <w:rFonts w:ascii="Garamond" w:hAnsi="Garamond"/>
              </w:rPr>
            </w:pPr>
            <w:r w:rsidRPr="009B4A70">
              <w:rPr>
                <w:rFonts w:ascii="Garamond" w:eastAsia="Times New Roman"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3E6D2B" w:rsidP="00530909">
            <w:pPr>
              <w:jc w:val="both"/>
              <w:rPr>
                <w:rFonts w:ascii="Garamond" w:hAnsi="Garamond"/>
              </w:rPr>
            </w:pPr>
            <w:r w:rsidRPr="009B4A70">
              <w:rPr>
                <w:rFonts w:ascii="Garamond" w:eastAsia="Times New Roman" w:hAnsi="Garamond" w:cs="Calibri"/>
                <w:color w:val="000000"/>
              </w:rPr>
              <w:t>Shri Ashok Kumar Khater (HUF)</w:t>
            </w:r>
          </w:p>
        </w:tc>
        <w:tc>
          <w:tcPr>
            <w:tcW w:w="2268" w:type="dxa"/>
            <w:tcBorders>
              <w:top w:val="nil"/>
              <w:left w:val="nil"/>
              <w:bottom w:val="single" w:sz="4" w:space="0" w:color="auto"/>
              <w:right w:val="single" w:sz="4" w:space="0" w:color="auto"/>
            </w:tcBorders>
            <w:shd w:val="clear" w:color="auto" w:fill="auto"/>
          </w:tcPr>
          <w:p w:rsidR="00956136" w:rsidRPr="00966FBB" w:rsidRDefault="00AE18BE" w:rsidP="00530909">
            <w:pPr>
              <w:shd w:val="clear" w:color="auto" w:fill="FFFFFF"/>
              <w:jc w:val="both"/>
              <w:rPr>
                <w:rFonts w:ascii="Garamond" w:hAnsi="Garamond"/>
              </w:rPr>
            </w:pPr>
            <w:r w:rsidRPr="009B4A70">
              <w:rPr>
                <w:rFonts w:ascii="Garamond" w:eastAsia="Times New Roman" w:hAnsi="Garamond" w:cs="Calibri"/>
                <w:color w:val="000000"/>
              </w:rPr>
              <w:t>Regulations 3(a), (b), (c) &amp; (d) &amp;4(1) and 4(2) (a) of the PFUTP Regulations, 2003.</w:t>
            </w:r>
          </w:p>
        </w:tc>
        <w:tc>
          <w:tcPr>
            <w:tcW w:w="1417" w:type="dxa"/>
            <w:tcBorders>
              <w:top w:val="nil"/>
              <w:left w:val="nil"/>
              <w:bottom w:val="single" w:sz="4" w:space="0" w:color="auto"/>
              <w:right w:val="single" w:sz="4" w:space="0" w:color="auto"/>
            </w:tcBorders>
            <w:shd w:val="clear" w:color="auto" w:fill="auto"/>
            <w:noWrap/>
          </w:tcPr>
          <w:p w:rsidR="00956136" w:rsidRPr="00966FBB" w:rsidRDefault="004B3A7C" w:rsidP="00530909">
            <w:pPr>
              <w:jc w:val="right"/>
              <w:rPr>
                <w:rFonts w:ascii="Garamond" w:hAnsi="Garamond"/>
              </w:rPr>
            </w:pPr>
            <w:r w:rsidRPr="00966FBB">
              <w:rPr>
                <w:rFonts w:ascii="Garamond" w:hAnsi="Garamond" w:cs="Calibri"/>
                <w:color w:val="000000"/>
                <w:lang w:bidi="hi-IN"/>
              </w:rPr>
              <w:t>5</w:t>
            </w:r>
            <w:r w:rsidR="00956136" w:rsidRPr="00966FBB">
              <w:rPr>
                <w:rFonts w:ascii="Garamond" w:hAnsi="Garamond" w:cs="Calibri"/>
                <w:color w:val="000000"/>
                <w:lang w:bidi="hi-IN"/>
              </w:rPr>
              <w:t>,00,000</w:t>
            </w:r>
          </w:p>
        </w:tc>
      </w:tr>
      <w:tr w:rsidR="00956136"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66FBB" w:rsidRDefault="00607698" w:rsidP="00530909">
            <w:pPr>
              <w:jc w:val="both"/>
              <w:rPr>
                <w:rFonts w:ascii="Garamond" w:hAnsi="Garamond"/>
                <w:color w:val="000000"/>
                <w:lang w:val="en-IN" w:eastAsia="en-IN" w:bidi="hi-IN"/>
              </w:rPr>
            </w:pPr>
            <w:r w:rsidRPr="00966FBB">
              <w:rPr>
                <w:rFonts w:ascii="Garamond" w:hAnsi="Garamond"/>
                <w:color w:val="000000"/>
                <w:lang w:val="en-IN" w:eastAsia="en-IN" w:bidi="hi-IN"/>
              </w:rPr>
              <w:t>26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966FBB" w:rsidRDefault="003E6D2B" w:rsidP="00530909">
            <w:pPr>
              <w:jc w:val="both"/>
              <w:rPr>
                <w:rFonts w:ascii="Garamond" w:hAnsi="Garamond"/>
              </w:rPr>
            </w:pPr>
            <w:r w:rsidRPr="00966FBB">
              <w:rPr>
                <w:rFonts w:ascii="Garamond" w:hAnsi="Garamond" w:cs="Calibri"/>
                <w:color w:val="000000"/>
                <w:lang w:bidi="hi-IN"/>
              </w:rPr>
              <w:t>13/12</w:t>
            </w:r>
            <w:r w:rsidR="00956136"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956136" w:rsidRPr="00966FBB" w:rsidRDefault="00AE18BE" w:rsidP="00530909">
            <w:pPr>
              <w:jc w:val="both"/>
              <w:rPr>
                <w:rFonts w:ascii="Garamond" w:hAnsi="Garamond"/>
              </w:rPr>
            </w:pPr>
            <w:r w:rsidRPr="009B4A70">
              <w:rPr>
                <w:rFonts w:ascii="Garamond" w:eastAsia="Times New Roman" w:hAnsi="Garamond" w:cs="Calibri"/>
                <w:color w:val="000000"/>
              </w:rPr>
              <w:t>Multipurpose Trading and Agencies Ltd.</w:t>
            </w:r>
          </w:p>
        </w:tc>
        <w:tc>
          <w:tcPr>
            <w:tcW w:w="1275" w:type="dxa"/>
            <w:tcBorders>
              <w:top w:val="nil"/>
              <w:left w:val="nil"/>
              <w:bottom w:val="single" w:sz="4" w:space="0" w:color="auto"/>
              <w:right w:val="single" w:sz="4" w:space="0" w:color="auto"/>
            </w:tcBorders>
            <w:shd w:val="clear" w:color="auto" w:fill="auto"/>
            <w:noWrap/>
          </w:tcPr>
          <w:p w:rsidR="00956136" w:rsidRPr="00966FBB" w:rsidRDefault="00956136" w:rsidP="00530909">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966FBB" w:rsidRDefault="00AE18BE" w:rsidP="00530909">
            <w:pPr>
              <w:jc w:val="both"/>
              <w:rPr>
                <w:rFonts w:ascii="Garamond" w:hAnsi="Garamond"/>
              </w:rPr>
            </w:pPr>
            <w:r w:rsidRPr="009B4A70">
              <w:rPr>
                <w:rFonts w:ascii="Garamond" w:eastAsia="Times New Roman" w:hAnsi="Garamond" w:cs="Calibri"/>
                <w:color w:val="000000"/>
              </w:rPr>
              <w:t>Om Jai Jagdish Infrastructure Pvt. Ltd.</w:t>
            </w:r>
          </w:p>
        </w:tc>
        <w:tc>
          <w:tcPr>
            <w:tcW w:w="2268" w:type="dxa"/>
            <w:tcBorders>
              <w:top w:val="nil"/>
              <w:left w:val="nil"/>
              <w:bottom w:val="single" w:sz="4" w:space="0" w:color="auto"/>
              <w:right w:val="single" w:sz="4" w:space="0" w:color="auto"/>
            </w:tcBorders>
            <w:shd w:val="clear" w:color="auto" w:fill="auto"/>
          </w:tcPr>
          <w:p w:rsidR="00956136" w:rsidRPr="00966FBB" w:rsidRDefault="00AE18BE" w:rsidP="00530909">
            <w:pPr>
              <w:shd w:val="clear" w:color="auto" w:fill="FFFFFF"/>
              <w:jc w:val="both"/>
              <w:rPr>
                <w:rFonts w:ascii="Garamond" w:hAnsi="Garamond"/>
              </w:rPr>
            </w:pPr>
            <w:r w:rsidRPr="009B4A70">
              <w:rPr>
                <w:rFonts w:ascii="Garamond" w:eastAsia="Times New Roman" w:hAnsi="Garamond" w:cs="Calibri"/>
                <w:color w:val="000000"/>
              </w:rPr>
              <w:t>Regulations  29  (1)  and  29(2)  read  with  29  (3) of SAST Regulations, 2011.</w:t>
            </w:r>
            <w:r w:rsidR="004B3A7C" w:rsidRPr="009B4A70">
              <w:rPr>
                <w:rFonts w:ascii="Garamond" w:eastAsia="Times New Roman" w:hAnsi="Garamond" w:cs="Calibri"/>
                <w:color w:val="000000"/>
              </w:rPr>
              <w:t>.</w:t>
            </w:r>
          </w:p>
        </w:tc>
        <w:tc>
          <w:tcPr>
            <w:tcW w:w="1417" w:type="dxa"/>
            <w:tcBorders>
              <w:top w:val="nil"/>
              <w:left w:val="nil"/>
              <w:bottom w:val="single" w:sz="4" w:space="0" w:color="auto"/>
              <w:right w:val="single" w:sz="4" w:space="0" w:color="auto"/>
            </w:tcBorders>
            <w:shd w:val="clear" w:color="auto" w:fill="auto"/>
            <w:noWrap/>
          </w:tcPr>
          <w:p w:rsidR="00956136" w:rsidRPr="00966FBB" w:rsidRDefault="00AE18BE" w:rsidP="00530909">
            <w:pPr>
              <w:jc w:val="right"/>
              <w:rPr>
                <w:rFonts w:ascii="Garamond" w:hAnsi="Garamond"/>
              </w:rPr>
            </w:pPr>
            <w:r w:rsidRPr="00966FBB">
              <w:rPr>
                <w:rFonts w:ascii="Garamond" w:hAnsi="Garamond" w:cs="Calibri"/>
                <w:color w:val="000000"/>
                <w:lang w:bidi="hi-IN"/>
              </w:rPr>
              <w:t>1</w:t>
            </w:r>
            <w:r w:rsidR="00956136" w:rsidRPr="00966FBB">
              <w:rPr>
                <w:rFonts w:ascii="Garamond" w:hAnsi="Garamond" w:cs="Calibri"/>
                <w:color w:val="000000"/>
                <w:lang w:bidi="hi-IN"/>
              </w:rPr>
              <w:t>,00,000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27</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13/12/2021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Multipurpose Trading and Agencies Ltd.</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B4A70" w:rsidRDefault="00AE18BE" w:rsidP="00AE18BE">
            <w:pPr>
              <w:rPr>
                <w:rFonts w:ascii="Garamond" w:eastAsia="Times New Roman" w:hAnsi="Garamond" w:cs="Calibri"/>
                <w:color w:val="000000"/>
              </w:rPr>
            </w:pPr>
            <w:r w:rsidRPr="009B4A70">
              <w:rPr>
                <w:rFonts w:ascii="Garamond" w:eastAsia="Times New Roman" w:hAnsi="Garamond" w:cs="Calibri"/>
                <w:color w:val="000000"/>
              </w:rPr>
              <w:t xml:space="preserve">Mr. Dinesh Kumar </w:t>
            </w:r>
          </w:p>
        </w:tc>
        <w:tc>
          <w:tcPr>
            <w:tcW w:w="2268" w:type="dxa"/>
            <w:tcBorders>
              <w:top w:val="nil"/>
              <w:left w:val="nil"/>
              <w:bottom w:val="single" w:sz="4" w:space="0" w:color="auto"/>
              <w:right w:val="single" w:sz="4" w:space="0" w:color="auto"/>
            </w:tcBorders>
            <w:shd w:val="clear" w:color="auto" w:fill="auto"/>
          </w:tcPr>
          <w:p w:rsidR="00AE18BE" w:rsidRPr="00966FBB" w:rsidRDefault="00AE18BE" w:rsidP="00AE18BE">
            <w:pPr>
              <w:shd w:val="clear" w:color="auto" w:fill="FFFFFF"/>
              <w:jc w:val="both"/>
              <w:rPr>
                <w:rFonts w:ascii="Garamond" w:hAnsi="Garamond"/>
              </w:rPr>
            </w:pPr>
            <w:r w:rsidRPr="009B4A70">
              <w:rPr>
                <w:rFonts w:ascii="Garamond" w:eastAsia="Times New Roman" w:hAnsi="Garamond" w:cs="Calibri"/>
                <w:color w:val="000000"/>
              </w:rPr>
              <w:t>Regulations  29  (1)  and  29(2)  read  with  29  (3) of SAST Regulations, 2011.</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1,00,000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28</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13/12/2021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Trading in Illiquid Stock Options at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Godghate Sugandha Sitarampant</w:t>
            </w:r>
          </w:p>
        </w:tc>
        <w:tc>
          <w:tcPr>
            <w:tcW w:w="2268" w:type="dxa"/>
            <w:tcBorders>
              <w:top w:val="nil"/>
              <w:left w:val="nil"/>
              <w:bottom w:val="single" w:sz="4" w:space="0" w:color="auto"/>
              <w:right w:val="single" w:sz="4" w:space="0" w:color="auto"/>
            </w:tcBorders>
            <w:shd w:val="clear" w:color="auto" w:fill="auto"/>
          </w:tcPr>
          <w:p w:rsidR="00AE18BE" w:rsidRPr="00966FBB" w:rsidRDefault="00AE18BE" w:rsidP="00AE18BE">
            <w:pPr>
              <w:shd w:val="clear" w:color="auto" w:fill="FFFFFF"/>
              <w:jc w:val="both"/>
              <w:rPr>
                <w:rFonts w:ascii="Garamond" w:hAnsi="Garamond"/>
              </w:rPr>
            </w:pPr>
            <w:r w:rsidRPr="009B4A70">
              <w:rPr>
                <w:rFonts w:ascii="Garamond" w:eastAsia="Times New Roman" w:hAnsi="Garamond" w:cs="Calibri"/>
                <w:color w:val="00000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5,00,000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29</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13/12/2021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Ms. Shruti Arya</w:t>
            </w:r>
          </w:p>
        </w:tc>
        <w:tc>
          <w:tcPr>
            <w:tcW w:w="2268" w:type="dxa"/>
            <w:tcBorders>
              <w:top w:val="nil"/>
              <w:left w:val="nil"/>
              <w:bottom w:val="single" w:sz="4" w:space="0" w:color="auto"/>
              <w:right w:val="single" w:sz="4" w:space="0" w:color="auto"/>
            </w:tcBorders>
            <w:shd w:val="clear" w:color="auto" w:fill="auto"/>
          </w:tcPr>
          <w:p w:rsidR="00AE18BE" w:rsidRPr="00966FBB" w:rsidRDefault="00AE18BE" w:rsidP="00AE18BE">
            <w:pPr>
              <w:shd w:val="clear" w:color="auto" w:fill="FFFFFF"/>
              <w:jc w:val="both"/>
              <w:rPr>
                <w:rFonts w:ascii="Garamond" w:hAnsi="Garamond"/>
              </w:rPr>
            </w:pPr>
            <w:r w:rsidRPr="009B4A70">
              <w:rPr>
                <w:rFonts w:ascii="Garamond" w:eastAsia="Times New Roman" w:hAnsi="Garamond" w:cs="Calibri"/>
                <w:color w:val="000000"/>
              </w:rPr>
              <w:t>Regulations 3(a), (b), (c), (d), 4(1) and 4(2) (a) of the PFUTP Regulations.</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5,00,000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30</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13/12/2021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lang w:val="en-US"/>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B4A70">
              <w:rPr>
                <w:rFonts w:ascii="Garamond" w:eastAsia="Times New Roman" w:hAnsi="Garamond" w:cs="Calibri"/>
                <w:color w:val="000000"/>
              </w:rPr>
              <w:t>Niraj Kumar Kajaria</w:t>
            </w:r>
          </w:p>
        </w:tc>
        <w:tc>
          <w:tcPr>
            <w:tcW w:w="2268" w:type="dxa"/>
            <w:tcBorders>
              <w:top w:val="nil"/>
              <w:left w:val="nil"/>
              <w:bottom w:val="single" w:sz="4" w:space="0" w:color="auto"/>
              <w:right w:val="single" w:sz="4" w:space="0" w:color="auto"/>
            </w:tcBorders>
            <w:shd w:val="clear" w:color="auto" w:fill="auto"/>
          </w:tcPr>
          <w:p w:rsidR="00AE18BE" w:rsidRPr="00966FBB" w:rsidRDefault="00AE18BE" w:rsidP="00AE18BE">
            <w:pPr>
              <w:shd w:val="clear" w:color="auto" w:fill="FFFFFF"/>
              <w:jc w:val="both"/>
              <w:rPr>
                <w:rFonts w:ascii="Garamond" w:hAnsi="Garamond"/>
              </w:rPr>
            </w:pPr>
            <w:r w:rsidRPr="009B4A70">
              <w:rPr>
                <w:rFonts w:ascii="Garamond" w:eastAsia="Times New Roman" w:hAnsi="Garamond" w:cs="Calibri"/>
                <w:color w:val="00000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5,00,000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31</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66FBB">
              <w:rPr>
                <w:rFonts w:ascii="Garamond" w:hAnsi="Garamond" w:cs="Calibri"/>
                <w:color w:val="000000"/>
                <w:lang w:bidi="hi-IN"/>
              </w:rPr>
              <w:t>14/12</w:t>
            </w:r>
            <w:r w:rsidR="00AE18B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M/s. Hardik Fintrade Pvt. Ltd.</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M/s. Hardik Fintrade Pvt. Ltd.</w:t>
            </w:r>
          </w:p>
        </w:tc>
        <w:tc>
          <w:tcPr>
            <w:tcW w:w="2268" w:type="dxa"/>
            <w:tcBorders>
              <w:top w:val="nil"/>
              <w:left w:val="nil"/>
              <w:bottom w:val="single" w:sz="4" w:space="0" w:color="auto"/>
              <w:right w:val="single" w:sz="4" w:space="0" w:color="auto"/>
            </w:tcBorders>
            <w:shd w:val="clear" w:color="auto" w:fill="auto"/>
          </w:tcPr>
          <w:p w:rsidR="00AE18BE" w:rsidRPr="00966FBB" w:rsidRDefault="00120EDE" w:rsidP="00AE18BE">
            <w:pPr>
              <w:shd w:val="clear" w:color="auto" w:fill="FFFFFF"/>
              <w:jc w:val="both"/>
              <w:rPr>
                <w:rFonts w:ascii="Garamond" w:hAnsi="Garamond"/>
              </w:rPr>
            </w:pPr>
            <w:r w:rsidRPr="009B4A70">
              <w:rPr>
                <w:rFonts w:ascii="Garamond" w:eastAsia="Times New Roman" w:hAnsi="Garamond" w:cs="Calibri"/>
                <w:color w:val="000000"/>
              </w:rPr>
              <w:t xml:space="preserve">Section 23D  of  SCRA  readwith  Clause  1  of  Transaction  Regulation  CircularandClauses 3 of Annexure to Enhanced Supervision Circular ; Clause  12  of  Annexure  A toSEBI  Circular  SEBI/MIRSD/SE/Cir-19/2009  dated December 03, 2009 ; Clause 2.6 of </w:t>
            </w:r>
            <w:r w:rsidRPr="009B4A70">
              <w:rPr>
                <w:rFonts w:ascii="Garamond" w:eastAsia="Times New Roman" w:hAnsi="Garamond" w:cs="Calibri"/>
                <w:color w:val="000000"/>
              </w:rPr>
              <w:lastRenderedPageBreak/>
              <w:t>Annexure to Enhanced Supervision Circular read with Clause 2(d) of SEBI Circular CIR/HO/MIRSD/MIRSD2/CIR/P/2017/64 dated June 22, 2017 ; Clause 1of  SEBI  Circular  No.  MIRSD/  Cir-26/2011  dated  December  23,  2011 read with SEBI Circular no. MIRSD/ Cir-23/2011 dated December 02, 2011 and SEBI Circular MIRSD/Cir-5/2012 dated April 13, 2012 ; Clause 2(B)of SEBI Circular CIR/MIRSD/15/2011 dated August 02, 2011 ; Clause 7 of Annexure to Enhanced Supervision Circular</w:t>
            </w:r>
          </w:p>
        </w:tc>
        <w:tc>
          <w:tcPr>
            <w:tcW w:w="1417" w:type="dxa"/>
            <w:tcBorders>
              <w:top w:val="nil"/>
              <w:left w:val="nil"/>
              <w:bottom w:val="single" w:sz="4" w:space="0" w:color="auto"/>
              <w:right w:val="single" w:sz="4" w:space="0" w:color="auto"/>
            </w:tcBorders>
            <w:shd w:val="clear" w:color="auto" w:fill="auto"/>
            <w:noWrap/>
          </w:tcPr>
          <w:p w:rsidR="00AE18BE" w:rsidRPr="00966FBB" w:rsidRDefault="00120EDE" w:rsidP="00AE18BE">
            <w:pPr>
              <w:jc w:val="right"/>
              <w:rPr>
                <w:rFonts w:ascii="Garamond" w:hAnsi="Garamond"/>
              </w:rPr>
            </w:pPr>
            <w:r w:rsidRPr="00966FBB">
              <w:rPr>
                <w:rFonts w:ascii="Garamond" w:hAnsi="Garamond"/>
              </w:rPr>
              <w:lastRenderedPageBreak/>
              <w:t>4,50,000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lastRenderedPageBreak/>
              <w:t>32</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66FBB">
              <w:rPr>
                <w:rFonts w:ascii="Garamond" w:hAnsi="Garamond" w:cs="Calibri"/>
                <w:color w:val="000000"/>
                <w:lang w:bidi="hi-IN"/>
              </w:rPr>
              <w:t>14/12</w:t>
            </w:r>
            <w:r w:rsidR="00AE18B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Arun Kumar Agrawal HUF</w:t>
            </w:r>
          </w:p>
        </w:tc>
        <w:tc>
          <w:tcPr>
            <w:tcW w:w="2268" w:type="dxa"/>
            <w:tcBorders>
              <w:top w:val="nil"/>
              <w:left w:val="nil"/>
              <w:bottom w:val="single" w:sz="4" w:space="0" w:color="auto"/>
              <w:right w:val="single" w:sz="4" w:space="0" w:color="auto"/>
            </w:tcBorders>
            <w:shd w:val="clear" w:color="auto" w:fill="auto"/>
          </w:tcPr>
          <w:p w:rsidR="00AE18BE" w:rsidRPr="00966FBB" w:rsidRDefault="00120EDE" w:rsidP="00AE18BE">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5,00,000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33</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66FBB">
              <w:rPr>
                <w:rFonts w:ascii="Garamond" w:hAnsi="Garamond" w:cs="Calibri"/>
                <w:color w:val="000000"/>
                <w:lang w:bidi="hi-IN"/>
              </w:rPr>
              <w:t>15/12</w:t>
            </w:r>
            <w:r w:rsidR="00AE18B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Shubhi Jain</w:t>
            </w:r>
          </w:p>
        </w:tc>
        <w:tc>
          <w:tcPr>
            <w:tcW w:w="2268" w:type="dxa"/>
            <w:tcBorders>
              <w:top w:val="nil"/>
              <w:left w:val="nil"/>
              <w:bottom w:val="single" w:sz="4" w:space="0" w:color="auto"/>
              <w:right w:val="single" w:sz="4" w:space="0" w:color="auto"/>
            </w:tcBorders>
            <w:shd w:val="clear" w:color="auto" w:fill="auto"/>
          </w:tcPr>
          <w:p w:rsidR="00AE18BE" w:rsidRPr="00966FBB" w:rsidRDefault="00120EDE" w:rsidP="00AE18BE">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cs="Calibri"/>
                <w:color w:val="000000"/>
                <w:lang w:bidi="hi-IN"/>
              </w:rPr>
              <w:t>5,00,000</w:t>
            </w:r>
          </w:p>
        </w:tc>
      </w:tr>
      <w:tr w:rsidR="00AE18B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18BE" w:rsidRPr="00966FBB" w:rsidRDefault="00607698" w:rsidP="00AE18BE">
            <w:pPr>
              <w:jc w:val="both"/>
              <w:rPr>
                <w:rFonts w:ascii="Garamond" w:hAnsi="Garamond"/>
                <w:color w:val="000000"/>
                <w:lang w:val="en-IN" w:eastAsia="en-IN" w:bidi="hi-IN"/>
              </w:rPr>
            </w:pPr>
            <w:r w:rsidRPr="00966FBB">
              <w:rPr>
                <w:rFonts w:ascii="Garamond" w:hAnsi="Garamond"/>
                <w:color w:val="000000"/>
                <w:lang w:val="en-IN" w:eastAsia="en-IN" w:bidi="hi-IN"/>
              </w:rPr>
              <w:t>34</w:t>
            </w:r>
          </w:p>
        </w:tc>
        <w:tc>
          <w:tcPr>
            <w:tcW w:w="1418" w:type="dxa"/>
            <w:tcBorders>
              <w:top w:val="nil"/>
              <w:left w:val="single" w:sz="4" w:space="0" w:color="auto"/>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66FBB">
              <w:rPr>
                <w:rFonts w:ascii="Garamond" w:hAnsi="Garamond" w:cs="Calibri"/>
                <w:color w:val="000000"/>
                <w:lang w:bidi="hi-IN"/>
              </w:rPr>
              <w:t>16/12</w:t>
            </w:r>
            <w:r w:rsidR="00AE18B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AE18BE" w:rsidRPr="00966FBB" w:rsidRDefault="00120EDE" w:rsidP="00AE18BE">
            <w:pPr>
              <w:jc w:val="both"/>
              <w:rPr>
                <w:rFonts w:ascii="Garamond" w:hAnsi="Garamond"/>
              </w:rPr>
            </w:pPr>
            <w:r w:rsidRPr="009B4A70">
              <w:rPr>
                <w:rFonts w:ascii="Garamond" w:eastAsia="Times New Roman" w:hAnsi="Garamond" w:cs="Calibri"/>
                <w:color w:val="000000"/>
              </w:rPr>
              <w:t>Trading in Illiquid Stock Options at BSE</w:t>
            </w:r>
          </w:p>
        </w:tc>
        <w:tc>
          <w:tcPr>
            <w:tcW w:w="1275"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both"/>
              <w:rPr>
                <w:rFonts w:ascii="Garamond" w:hAnsi="Garamond"/>
              </w:rPr>
            </w:pPr>
            <w:r w:rsidRPr="00966FBB">
              <w:rPr>
                <w:rFonts w:ascii="Garamond" w:hAnsi="Garamond" w:cs="Calibri"/>
                <w:color w:val="000000"/>
                <w:lang w:bidi="hi-IN"/>
              </w:rPr>
              <w:t xml:space="preserve"> </w:t>
            </w:r>
            <w:r w:rsidR="00120EDE" w:rsidRPr="009B4A70">
              <w:rPr>
                <w:rFonts w:ascii="Garamond" w:eastAsia="Times New Roman" w:hAnsi="Garamond" w:cs="Calibri"/>
                <w:color w:val="000000"/>
              </w:rPr>
              <w:t>Goldmoon Securities Ltd</w:t>
            </w:r>
          </w:p>
        </w:tc>
        <w:tc>
          <w:tcPr>
            <w:tcW w:w="2268" w:type="dxa"/>
            <w:tcBorders>
              <w:top w:val="nil"/>
              <w:left w:val="nil"/>
              <w:bottom w:val="single" w:sz="4" w:space="0" w:color="auto"/>
              <w:right w:val="single" w:sz="4" w:space="0" w:color="auto"/>
            </w:tcBorders>
            <w:shd w:val="clear" w:color="auto" w:fill="auto"/>
          </w:tcPr>
          <w:p w:rsidR="00AE18BE" w:rsidRPr="00966FBB" w:rsidRDefault="00120EDE" w:rsidP="00AE18BE">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AE18BE" w:rsidRPr="00966FBB" w:rsidRDefault="00AE18BE" w:rsidP="00AE18BE">
            <w:pPr>
              <w:jc w:val="right"/>
              <w:rPr>
                <w:rFonts w:ascii="Garamond" w:hAnsi="Garamond"/>
              </w:rPr>
            </w:pPr>
            <w:r w:rsidRPr="00966FBB">
              <w:rPr>
                <w:rFonts w:ascii="Garamond" w:hAnsi="Garamond"/>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35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16/12/2021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120EDE" w:rsidP="00120EDE">
            <w:pPr>
              <w:rPr>
                <w:rFonts w:ascii="Garamond" w:eastAsia="Times New Roman" w:hAnsi="Garamond" w:cs="Calibri"/>
                <w:color w:val="000000"/>
              </w:rPr>
            </w:pPr>
            <w:r w:rsidRPr="009B4A70">
              <w:rPr>
                <w:rFonts w:ascii="Garamond" w:eastAsia="Times New Roman" w:hAnsi="Garamond" w:cs="Calibri"/>
                <w:color w:val="000000"/>
              </w:rPr>
              <w:t>Vivek Kumar Bhartia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120EDE" w:rsidP="00120EDE">
            <w:pPr>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66FBB">
              <w:rPr>
                <w:rFonts w:ascii="Garamond" w:hAnsi="Garamond" w:cs="Calibri"/>
                <w:color w:val="000000"/>
                <w:lang w:bidi="hi-IN"/>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17/12/2021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Nidhi Rara</w:t>
            </w:r>
          </w:p>
        </w:tc>
        <w:tc>
          <w:tcPr>
            <w:tcW w:w="2268" w:type="dxa"/>
            <w:tcBorders>
              <w:top w:val="single" w:sz="4" w:space="0" w:color="auto"/>
              <w:left w:val="nil"/>
              <w:bottom w:val="single" w:sz="4" w:space="0" w:color="auto"/>
              <w:right w:val="single" w:sz="4" w:space="0" w:color="auto"/>
            </w:tcBorders>
            <w:shd w:val="clear" w:color="auto" w:fill="auto"/>
          </w:tcPr>
          <w:p w:rsidR="00120EDE" w:rsidRPr="00966FBB" w:rsidRDefault="00120EDE" w:rsidP="00120EDE">
            <w:pPr>
              <w:shd w:val="clear" w:color="auto" w:fill="FFFFFF"/>
              <w:jc w:val="both"/>
              <w:rPr>
                <w:rFonts w:ascii="Garamond" w:hAnsi="Garamond"/>
              </w:rPr>
            </w:pPr>
            <w:r w:rsidRPr="009B4A70">
              <w:rPr>
                <w:rFonts w:ascii="Garamond" w:eastAsia="Times New Roman" w:hAnsi="Garamond" w:cs="Calibri"/>
                <w:color w:val="000000"/>
              </w:rPr>
              <w:t>Regulations  3(a),  (b),  (c), (d),   4(1)   and   4(2)(a)   of PFUTP Regulations, 2003</w:t>
            </w:r>
            <w:r w:rsidRPr="009B4A70">
              <w:rPr>
                <w:rFonts w:ascii="Garamond" w:eastAsia="Times New Roman" w:hAnsi="Garamond" w:cs="Calibri"/>
                <w:color w:val="000000"/>
                <w:lang w:val="en-US"/>
              </w:rPr>
              <w:t>.</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66FBB">
              <w:rPr>
                <w:rFonts w:ascii="Garamond" w:hAnsi="Garamond" w:cs="Calibri"/>
                <w:color w:val="000000"/>
                <w:lang w:bidi="hi-IN"/>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37</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b/>
                <w:bCs/>
              </w:rPr>
            </w:pPr>
            <w:r w:rsidRPr="00966FBB">
              <w:rPr>
                <w:rFonts w:ascii="Garamond" w:hAnsi="Garamond" w:cs="Calibri"/>
                <w:color w:val="000000"/>
                <w:lang w:bidi="hi-IN"/>
              </w:rPr>
              <w:t>17/12/2021</w:t>
            </w:r>
          </w:p>
        </w:tc>
        <w:tc>
          <w:tcPr>
            <w:tcW w:w="1701" w:type="dxa"/>
            <w:tcBorders>
              <w:top w:val="nil"/>
              <w:left w:val="nil"/>
              <w:bottom w:val="single" w:sz="4" w:space="0" w:color="auto"/>
              <w:right w:val="single" w:sz="4" w:space="0" w:color="auto"/>
            </w:tcBorders>
            <w:shd w:val="clear" w:color="auto" w:fill="auto"/>
            <w:noWrap/>
          </w:tcPr>
          <w:p w:rsidR="00120EDE" w:rsidRPr="009B4A70" w:rsidRDefault="00120EDE" w:rsidP="00120EDE">
            <w:pPr>
              <w:rPr>
                <w:rFonts w:ascii="Garamond" w:eastAsia="Times New Roman" w:hAnsi="Garamond" w:cs="Calibri"/>
                <w:color w:val="000000"/>
                <w:lang w:val="en-US"/>
              </w:rPr>
            </w:pPr>
            <w:r w:rsidRPr="009B4A70">
              <w:rPr>
                <w:rFonts w:ascii="Garamond" w:eastAsia="Times New Roman"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Mr. Shubham Umesh Sharma</w:t>
            </w:r>
          </w:p>
        </w:tc>
        <w:tc>
          <w:tcPr>
            <w:tcW w:w="2268" w:type="dxa"/>
            <w:tcBorders>
              <w:top w:val="nil"/>
              <w:left w:val="nil"/>
              <w:bottom w:val="single" w:sz="4" w:space="0" w:color="auto"/>
              <w:right w:val="single" w:sz="4" w:space="0" w:color="auto"/>
            </w:tcBorders>
            <w:shd w:val="clear" w:color="auto" w:fill="auto"/>
          </w:tcPr>
          <w:p w:rsidR="00120EDE" w:rsidRPr="009B4A70" w:rsidRDefault="00120EDE" w:rsidP="00120EDE">
            <w:pPr>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B4A70">
              <w:rPr>
                <w:rFonts w:ascii="Garamond" w:eastAsia="Times New Roman" w:hAnsi="Garamond" w:cs="Calibri"/>
                <w:color w:val="000000"/>
                <w:lang w:val="en-US"/>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lastRenderedPageBreak/>
              <w:t>38</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17/12/2021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M/s. Ambalal Multi Commodities Private Ltd.</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rPr>
              <w:t>M/s. Ambalal Multi Commodities Private Ltd</w:t>
            </w:r>
          </w:p>
        </w:tc>
        <w:tc>
          <w:tcPr>
            <w:tcW w:w="2268" w:type="dxa"/>
            <w:tcBorders>
              <w:top w:val="nil"/>
              <w:left w:val="nil"/>
              <w:bottom w:val="single" w:sz="4" w:space="0" w:color="auto"/>
              <w:right w:val="single" w:sz="4" w:space="0" w:color="auto"/>
            </w:tcBorders>
            <w:shd w:val="clear" w:color="auto" w:fill="auto"/>
          </w:tcPr>
          <w:p w:rsidR="00120EDE" w:rsidRPr="00966FBB" w:rsidRDefault="00120EDE" w:rsidP="00120EDE">
            <w:pPr>
              <w:shd w:val="clear" w:color="auto" w:fill="FFFFFF"/>
              <w:jc w:val="both"/>
              <w:rPr>
                <w:rFonts w:ascii="Garamond" w:hAnsi="Garamond"/>
              </w:rPr>
            </w:pPr>
            <w:r w:rsidRPr="009B4A70">
              <w:rPr>
                <w:rFonts w:ascii="Garamond" w:eastAsia="Times New Roman" w:hAnsi="Garamond" w:cs="Calibri"/>
                <w:color w:val="000000"/>
              </w:rPr>
              <w:t>Section 23D  of  SCRA  read with  Clause  1  of Transactions  Regulation Circular and Clause 3 of Enhanced Supervision Circular; Clause 6.1.1(j) of Annexure to  Enhanced  Supervision  Circular</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B4A70">
              <w:rPr>
                <w:rFonts w:ascii="Garamond" w:eastAsia="Times New Roman" w:hAnsi="Garamond" w:cs="Calibri"/>
                <w:color w:val="000000"/>
                <w:lang w:val="en-US"/>
              </w:rPr>
              <w:t>4,00,000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39</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17/12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lang w:val="en-US"/>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Arun Kataruka HUF</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3(a),  (b),  (c),  (d),  4(1)  and  4(2)(a)  of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B4A70">
              <w:rPr>
                <w:rFonts w:ascii="Garamond" w:eastAsia="Times New Roman" w:hAnsi="Garamond" w:cs="Calibri"/>
                <w:color w:val="000000"/>
                <w:lang w:val="en-US"/>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40</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Nidhi Gupta</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B4A70">
              <w:rPr>
                <w:rFonts w:ascii="Garamond" w:eastAsia="Times New Roman" w:hAnsi="Garamond" w:cs="Calibri"/>
                <w:color w:val="000000"/>
                <w:lang w:val="en-US"/>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41</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lang w:val="en-US"/>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Mr.  Shubham Chaudhary</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3(a), (b), (c),  (d),  4(1)  and 4(2)  (a)  of  the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B4A70">
              <w:rPr>
                <w:rFonts w:ascii="Garamond" w:eastAsia="Times New Roman" w:hAnsi="Garamond" w:cs="Calibri"/>
                <w:color w:val="000000"/>
                <w:lang w:val="en-US"/>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42</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B4A70">
              <w:rPr>
                <w:rFonts w:ascii="Garamond" w:eastAsia="Times New Roman" w:hAnsi="Garamond" w:cs="Calibri"/>
                <w:color w:val="000000"/>
                <w:lang w:val="en-US"/>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Shubha Agarwal</w:t>
            </w:r>
          </w:p>
        </w:tc>
        <w:tc>
          <w:tcPr>
            <w:tcW w:w="2268" w:type="dxa"/>
            <w:tcBorders>
              <w:top w:val="nil"/>
              <w:left w:val="nil"/>
              <w:bottom w:val="single" w:sz="4" w:space="0" w:color="auto"/>
              <w:right w:val="single" w:sz="4" w:space="0" w:color="auto"/>
            </w:tcBorders>
            <w:shd w:val="clear" w:color="auto" w:fill="auto"/>
          </w:tcPr>
          <w:p w:rsidR="00120EDE" w:rsidRPr="00966FBB" w:rsidRDefault="00120EDE" w:rsidP="00120EDE">
            <w:pPr>
              <w:shd w:val="clear" w:color="auto" w:fill="FFFFFF"/>
              <w:jc w:val="both"/>
              <w:rPr>
                <w:rFonts w:ascii="Garamond" w:hAnsi="Garamond"/>
              </w:rPr>
            </w:pPr>
            <w:r w:rsidRPr="00966FBB">
              <w:rPr>
                <w:rFonts w:ascii="Garamond" w:hAnsi="Garamond" w:cs="Calibri"/>
                <w:color w:val="000000"/>
                <w:lang w:bidi="hi-IN"/>
              </w:rPr>
              <w:t> </w:t>
            </w:r>
            <w:r w:rsidR="00EC1C60" w:rsidRPr="00966FBB">
              <w:rPr>
                <w:rFonts w:ascii="Garamond" w:hAnsi="Garamond" w:cs="Calibri"/>
                <w:color w:val="000000"/>
              </w:rPr>
              <w:t>Regulations 3(a), (b), (c),  (d),  4(1)  and 4(2)  (a)  of  the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66FBB">
              <w:rPr>
                <w:rFonts w:ascii="Garamond" w:hAnsi="Garamond" w:cs="Calibri"/>
                <w:color w:val="000000"/>
                <w:lang w:bidi="hi-IN"/>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43</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Multipurpose Trading and Agencies Ltd</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Innovist India Pvt. Ltd.</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29  (1)  and  29(2)  read  with  29  (3) of SAST Regulations, 2011.</w:t>
            </w:r>
          </w:p>
        </w:tc>
        <w:tc>
          <w:tcPr>
            <w:tcW w:w="141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right"/>
              <w:rPr>
                <w:rFonts w:ascii="Garamond" w:hAnsi="Garamond"/>
              </w:rPr>
            </w:pPr>
            <w:r w:rsidRPr="00966FBB">
              <w:rPr>
                <w:rFonts w:ascii="Garamond" w:hAnsi="Garamond" w:cs="Calibri"/>
                <w:color w:val="000000"/>
                <w:lang w:bidi="hi-IN"/>
              </w:rPr>
              <w:t>1</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44</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Multipurpose Trading and Agencies Ltd</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Dewan Financial Services Ltd.</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29  (1)  and  29(2)  read  with  29  (3) of SAST Regulations, 2011.</w:t>
            </w:r>
          </w:p>
        </w:tc>
        <w:tc>
          <w:tcPr>
            <w:tcW w:w="141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right"/>
              <w:rPr>
                <w:rFonts w:ascii="Garamond" w:hAnsi="Garamond"/>
              </w:rPr>
            </w:pPr>
            <w:r w:rsidRPr="00966FBB">
              <w:rPr>
                <w:rFonts w:ascii="Garamond" w:hAnsi="Garamond" w:cs="Calibri"/>
                <w:color w:val="000000"/>
                <w:lang w:bidi="hi-IN"/>
              </w:rPr>
              <w:t>1</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45</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Shri Ashok Kumar Uppal</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3(a), (b), (c), (d), 4(1) and  4(2)  (a)  of  the PFUTP  Regulations, 2003</w:t>
            </w:r>
          </w:p>
        </w:tc>
        <w:tc>
          <w:tcPr>
            <w:tcW w:w="141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right"/>
              <w:rPr>
                <w:rFonts w:ascii="Garamond" w:hAnsi="Garamond"/>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46</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lang w:bidi="hi-IN"/>
              </w:rPr>
              <w:t>20/12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EC1C60" w:rsidP="00120EDE">
            <w:pPr>
              <w:jc w:val="both"/>
              <w:rPr>
                <w:rFonts w:ascii="Garamond" w:hAnsi="Garamond"/>
              </w:rPr>
            </w:pPr>
            <w:r w:rsidRPr="00966FBB">
              <w:rPr>
                <w:rFonts w:ascii="Garamond" w:hAnsi="Garamond" w:cs="Calibri"/>
                <w:color w:val="000000"/>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B4A70" w:rsidRDefault="00EC1C60" w:rsidP="00120EDE">
            <w:pPr>
              <w:rPr>
                <w:rFonts w:ascii="Garamond" w:eastAsia="Times New Roman" w:hAnsi="Garamond" w:cs="Calibri"/>
                <w:color w:val="000000"/>
              </w:rPr>
            </w:pPr>
            <w:r w:rsidRPr="00966FBB">
              <w:rPr>
                <w:rFonts w:ascii="Garamond" w:hAnsi="Garamond" w:cs="Calibri"/>
                <w:color w:val="000000"/>
              </w:rPr>
              <w:t>Ashok KumarKhemka HUF</w:t>
            </w:r>
          </w:p>
        </w:tc>
        <w:tc>
          <w:tcPr>
            <w:tcW w:w="2268" w:type="dxa"/>
            <w:tcBorders>
              <w:top w:val="nil"/>
              <w:left w:val="nil"/>
              <w:bottom w:val="single" w:sz="4" w:space="0" w:color="auto"/>
              <w:right w:val="single" w:sz="4" w:space="0" w:color="auto"/>
            </w:tcBorders>
            <w:shd w:val="clear" w:color="auto" w:fill="auto"/>
          </w:tcPr>
          <w:p w:rsidR="00120EDE" w:rsidRPr="00966FBB" w:rsidRDefault="00EC1C60" w:rsidP="00120EDE">
            <w:pPr>
              <w:shd w:val="clear" w:color="auto" w:fill="FFFFFF"/>
              <w:jc w:val="both"/>
              <w:rPr>
                <w:rFonts w:ascii="Garamond" w:hAnsi="Garamond"/>
              </w:rPr>
            </w:pPr>
            <w:r w:rsidRPr="00966FBB">
              <w:rPr>
                <w:rFonts w:ascii="Garamond" w:hAnsi="Garamond" w:cs="Calibri"/>
                <w:color w:val="000000"/>
              </w:rPr>
              <w:t>Regulations 3(a), (b), (c), (d), 4(1) and  4(2)  (a)  of  the PFUTP  Regulations, 2003</w:t>
            </w:r>
          </w:p>
        </w:tc>
        <w:tc>
          <w:tcPr>
            <w:tcW w:w="1417" w:type="dxa"/>
            <w:tcBorders>
              <w:top w:val="nil"/>
              <w:left w:val="nil"/>
              <w:bottom w:val="single" w:sz="4" w:space="0" w:color="auto"/>
              <w:right w:val="single" w:sz="4" w:space="0" w:color="auto"/>
            </w:tcBorders>
            <w:shd w:val="clear" w:color="auto" w:fill="auto"/>
            <w:noWrap/>
          </w:tcPr>
          <w:p w:rsidR="00120EDE" w:rsidRPr="00966FBB" w:rsidRDefault="00EC1C60" w:rsidP="00120EDE">
            <w:pPr>
              <w:jc w:val="right"/>
              <w:rPr>
                <w:rFonts w:ascii="Garamond" w:hAnsi="Garamond"/>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47</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lang w:bidi="hi-IN"/>
              </w:rPr>
              <w:t>21/12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B4A70">
              <w:rPr>
                <w:rFonts w:ascii="Garamond" w:eastAsia="Times New Roman" w:hAnsi="Garamond" w:cs="Calibri"/>
                <w:color w:val="000000"/>
              </w:rPr>
              <w:t>Coral Hub Limited</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M/s K.P Joshi &amp; Co.(Proprietor-Shri KishorP. Joshi)</w:t>
            </w:r>
          </w:p>
        </w:tc>
        <w:tc>
          <w:tcPr>
            <w:tcW w:w="2268" w:type="dxa"/>
            <w:tcBorders>
              <w:top w:val="nil"/>
              <w:left w:val="nil"/>
              <w:bottom w:val="single" w:sz="4" w:space="0" w:color="auto"/>
              <w:right w:val="single" w:sz="4" w:space="0" w:color="auto"/>
            </w:tcBorders>
            <w:shd w:val="clear" w:color="auto" w:fill="auto"/>
          </w:tcPr>
          <w:p w:rsidR="00120EDE" w:rsidRPr="00966FBB" w:rsidRDefault="00107D42" w:rsidP="00120EDE">
            <w:pPr>
              <w:shd w:val="clear" w:color="auto" w:fill="FFFFFF"/>
              <w:jc w:val="both"/>
              <w:rPr>
                <w:rFonts w:ascii="Garamond" w:hAnsi="Garamond"/>
              </w:rPr>
            </w:pPr>
            <w:r w:rsidRPr="00966FBB">
              <w:rPr>
                <w:rFonts w:ascii="Garamond" w:hAnsi="Garamond" w:cs="Calibri"/>
                <w:color w:val="000000"/>
              </w:rPr>
              <w:t>Sections 12A (a),(b),(c) of SEBI Act and Regulations 3 (b),(c),(d) and Regulation 4 (1), 4 (2) (e), (f), (k) and (r) of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07D42" w:rsidP="00120EDE">
            <w:pPr>
              <w:jc w:val="right"/>
              <w:rPr>
                <w:rFonts w:ascii="Garamond" w:hAnsi="Garamond"/>
              </w:rPr>
            </w:pPr>
            <w:r w:rsidRPr="00966FBB">
              <w:rPr>
                <w:rFonts w:ascii="Garamond" w:hAnsi="Garamond" w:cs="Calibri"/>
                <w:color w:val="000000"/>
                <w:lang w:bidi="hi-IN"/>
              </w:rPr>
              <w:t>20</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lastRenderedPageBreak/>
              <w:t>48</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lang w:bidi="hi-IN"/>
              </w:rPr>
              <w:t>22/12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Illiquid Stock Options at BSE Limited</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Surendra Kumar Gupta HUF</w:t>
            </w:r>
          </w:p>
        </w:tc>
        <w:tc>
          <w:tcPr>
            <w:tcW w:w="2268" w:type="dxa"/>
            <w:tcBorders>
              <w:top w:val="nil"/>
              <w:left w:val="nil"/>
              <w:bottom w:val="single" w:sz="4" w:space="0" w:color="auto"/>
              <w:right w:val="single" w:sz="4" w:space="0" w:color="auto"/>
            </w:tcBorders>
            <w:shd w:val="clear" w:color="auto" w:fill="auto"/>
          </w:tcPr>
          <w:p w:rsidR="00120EDE" w:rsidRPr="00966FBB" w:rsidRDefault="00107D42" w:rsidP="00120EDE">
            <w:pPr>
              <w:shd w:val="clear" w:color="auto" w:fill="FFFFFF"/>
              <w:jc w:val="both"/>
              <w:rPr>
                <w:rFonts w:ascii="Garamond" w:hAnsi="Garamond"/>
              </w:rPr>
            </w:pPr>
            <w:r w:rsidRPr="00966FBB">
              <w:rPr>
                <w:rFonts w:ascii="Garamond" w:hAnsi="Garamond" w:cs="Calibri"/>
                <w:color w:val="000000"/>
              </w:rPr>
              <w:t>Regulations 3(a), 3(b), 3(c), 3(d), 4(1) and 4 (2)(a) of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rPr>
            </w:pPr>
            <w:r w:rsidRPr="00966FBB">
              <w:rPr>
                <w:rFonts w:ascii="Garamond" w:hAnsi="Garamond" w:cs="Calibri"/>
                <w:color w:val="000000"/>
                <w:lang w:bidi="hi-IN"/>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49</w:t>
            </w:r>
          </w:p>
        </w:tc>
        <w:tc>
          <w:tcPr>
            <w:tcW w:w="1418" w:type="dxa"/>
            <w:tcBorders>
              <w:top w:val="nil"/>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lang w:bidi="hi-IN"/>
              </w:rPr>
              <w:t>22/12</w:t>
            </w:r>
            <w:r w:rsidR="00120EDE" w:rsidRPr="00966FBB">
              <w:rPr>
                <w:rFonts w:ascii="Garamond" w:hAnsi="Garamond" w:cs="Calibri"/>
                <w:color w:val="000000"/>
                <w:lang w:bidi="hi-IN"/>
              </w:rPr>
              <w:t>/2021</w:t>
            </w:r>
          </w:p>
        </w:tc>
        <w:tc>
          <w:tcPr>
            <w:tcW w:w="1701"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nil"/>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Shukla Packging Industries Private Limited</w:t>
            </w:r>
          </w:p>
        </w:tc>
        <w:tc>
          <w:tcPr>
            <w:tcW w:w="2268" w:type="dxa"/>
            <w:tcBorders>
              <w:top w:val="nil"/>
              <w:left w:val="nil"/>
              <w:bottom w:val="single" w:sz="4" w:space="0" w:color="auto"/>
              <w:right w:val="single" w:sz="4" w:space="0" w:color="auto"/>
            </w:tcBorders>
            <w:shd w:val="clear" w:color="auto" w:fill="auto"/>
          </w:tcPr>
          <w:p w:rsidR="00120EDE" w:rsidRPr="00966FBB" w:rsidRDefault="00107D42" w:rsidP="00120EDE">
            <w:pPr>
              <w:shd w:val="clear" w:color="auto" w:fill="FFFFFF"/>
              <w:jc w:val="both"/>
              <w:rPr>
                <w:rFonts w:ascii="Garamond" w:hAnsi="Garamond"/>
              </w:rPr>
            </w:pPr>
            <w:r w:rsidRPr="00966FBB">
              <w:rPr>
                <w:rFonts w:ascii="Garamond" w:hAnsi="Garamond" w:cs="Calibri"/>
                <w:color w:val="000000"/>
              </w:rPr>
              <w:t>Regulations 3(a), (b), (c),  (d),  4(1)  and 4(2)  (a) of  the  PFUTP  Regulations.</w:t>
            </w:r>
          </w:p>
        </w:tc>
        <w:tc>
          <w:tcPr>
            <w:tcW w:w="1417" w:type="dxa"/>
            <w:tcBorders>
              <w:top w:val="nil"/>
              <w:left w:val="nil"/>
              <w:bottom w:val="single" w:sz="4" w:space="0" w:color="auto"/>
              <w:right w:val="single" w:sz="4" w:space="0" w:color="auto"/>
            </w:tcBorders>
            <w:shd w:val="clear" w:color="auto" w:fill="auto"/>
            <w:noWrap/>
          </w:tcPr>
          <w:p w:rsidR="00120EDE" w:rsidRPr="00966FBB" w:rsidRDefault="00107D42" w:rsidP="00120EDE">
            <w:pPr>
              <w:jc w:val="right"/>
              <w:rPr>
                <w:rFonts w:ascii="Garamond" w:hAnsi="Garamond"/>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lang w:bidi="hi-IN"/>
              </w:rPr>
              <w:t>22/12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Titan Company Limited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Mr.  Patil Basavaraj Mallikarjun</w:t>
            </w:r>
          </w:p>
        </w:tc>
        <w:tc>
          <w:tcPr>
            <w:tcW w:w="2268" w:type="dxa"/>
            <w:tcBorders>
              <w:top w:val="single" w:sz="4" w:space="0" w:color="auto"/>
              <w:left w:val="nil"/>
              <w:bottom w:val="single" w:sz="4" w:space="0" w:color="auto"/>
              <w:right w:val="single" w:sz="4" w:space="0" w:color="auto"/>
            </w:tcBorders>
            <w:shd w:val="clear" w:color="auto" w:fill="auto"/>
          </w:tcPr>
          <w:p w:rsidR="00120EDE" w:rsidRPr="00966FBB" w:rsidRDefault="00107D42" w:rsidP="00120EDE">
            <w:pPr>
              <w:shd w:val="clear" w:color="auto" w:fill="FFFFFF"/>
              <w:jc w:val="both"/>
              <w:rPr>
                <w:rFonts w:ascii="Garamond" w:hAnsi="Garamond"/>
              </w:rPr>
            </w:pPr>
            <w:r w:rsidRPr="00966FBB">
              <w:rPr>
                <w:rFonts w:ascii="Garamond" w:hAnsi="Garamond" w:cs="Calibri"/>
                <w:color w:val="000000"/>
              </w:rPr>
              <w:t>Regulation 7(2)(a) of PIT Regulationson</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right"/>
              <w:rPr>
                <w:rFonts w:ascii="Garamond" w:hAnsi="Garamond"/>
              </w:rPr>
            </w:pPr>
            <w:r w:rsidRPr="00966FBB">
              <w:rPr>
                <w:rFonts w:ascii="Garamond" w:hAnsi="Garamond" w:cs="Calibri"/>
                <w:color w:val="000000"/>
                <w:lang w:bidi="hi-IN"/>
              </w:rPr>
              <w:t>1</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lang w:bidi="hi-IN"/>
              </w:rPr>
              <w:t>22/12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rPr>
            </w:pPr>
            <w:r w:rsidRPr="00966FBB">
              <w:rPr>
                <w:rFonts w:ascii="Garamond" w:hAnsi="Garamond" w:cs="Calibri"/>
                <w:color w:val="000000"/>
              </w:rPr>
              <w:t>Balbhadra Trading Private Limited</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CC6ADB" w:rsidP="00120EDE">
            <w:pPr>
              <w:rPr>
                <w:rFonts w:ascii="Garamond" w:eastAsia="Times New Roman" w:hAnsi="Garamond" w:cs="Calibri"/>
                <w:color w:val="000000"/>
                <w:lang w:val="en-US"/>
              </w:rPr>
            </w:pPr>
            <w:r w:rsidRPr="00966FBB">
              <w:rPr>
                <w:rFonts w:ascii="Garamond" w:hAnsi="Garamond" w:cs="Calibri"/>
                <w:color w:val="000000"/>
              </w:rPr>
              <w:t>Regulations 3(a), (b), (c),(d),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07D42" w:rsidP="00120EDE">
            <w:pPr>
              <w:jc w:val="right"/>
              <w:rPr>
                <w:rFonts w:ascii="Garamond" w:hAnsi="Garamond"/>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107D42" w:rsidP="00120EDE">
            <w:pPr>
              <w:jc w:val="both"/>
              <w:rPr>
                <w:rFonts w:ascii="Garamond" w:hAnsi="Garamond" w:cs="Calibri"/>
                <w:color w:val="000000"/>
                <w:lang w:bidi="hi-IN"/>
              </w:rPr>
            </w:pPr>
            <w:r w:rsidRPr="00966FBB">
              <w:rPr>
                <w:rFonts w:ascii="Garamond" w:hAnsi="Garamond" w:cs="Calibri"/>
                <w:color w:val="000000"/>
                <w:lang w:bidi="hi-IN"/>
              </w:rPr>
              <w:t>22/12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CC6ADB" w:rsidP="00120EDE">
            <w:pPr>
              <w:jc w:val="both"/>
              <w:rPr>
                <w:rFonts w:ascii="Garamond" w:hAnsi="Garamond" w:cs="Calibri"/>
                <w:color w:val="000000"/>
                <w:lang w:bidi="hi-IN"/>
              </w:rPr>
            </w:pPr>
            <w:r w:rsidRPr="00966FBB">
              <w:rPr>
                <w:rFonts w:ascii="Garamond" w:hAnsi="Garamond" w:cs="Calibri"/>
                <w:color w:val="000000"/>
              </w:rPr>
              <w:t>Taurus Mutual Fund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Karvy  Computershare  P.  Ltd</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0774AB" w:rsidP="00120EDE">
            <w:pPr>
              <w:rPr>
                <w:rFonts w:ascii="Garamond" w:eastAsia="Times New Roman" w:hAnsi="Garamond" w:cs="Calibri"/>
                <w:color w:val="000000"/>
                <w:lang w:val="en-US"/>
              </w:rPr>
            </w:pPr>
            <w:r w:rsidRPr="00966FBB">
              <w:rPr>
                <w:rFonts w:ascii="Garamond" w:hAnsi="Garamond" w:cs="Calibri"/>
                <w:color w:val="000000"/>
              </w:rPr>
              <w:t>Regulations 3 (a)  and  4  (1)  of  the  PFUTP  Regulations  and  Clauses  1, 2  and  3 of  the  Code  of Conduct in Schedule III read with Regulation 13 of the RTI and STA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cs="Calibri"/>
                <w:color w:val="000000"/>
                <w:lang w:bidi="hi-IN"/>
              </w:rPr>
            </w:pPr>
            <w:r w:rsidRPr="00966FBB">
              <w:rPr>
                <w:rFonts w:ascii="Garamond" w:hAnsi="Garamond" w:cs="Calibri"/>
                <w:color w:val="000000"/>
                <w:lang w:bidi="hi-IN"/>
              </w:rPr>
              <w:t>1,</w:t>
            </w:r>
            <w:r w:rsidR="000774AB" w:rsidRPr="00966FBB">
              <w:rPr>
                <w:rFonts w:ascii="Garamond" w:hAnsi="Garamond" w:cs="Calibri"/>
                <w:color w:val="000000"/>
                <w:lang w:bidi="hi-IN"/>
              </w:rPr>
              <w:t>50,</w:t>
            </w:r>
            <w:r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604BA3" w:rsidP="00120EDE">
            <w:pPr>
              <w:jc w:val="both"/>
              <w:rPr>
                <w:rFonts w:ascii="Garamond" w:hAnsi="Garamond" w:cs="Calibri"/>
                <w:color w:val="000000"/>
                <w:lang w:bidi="hi-IN"/>
              </w:rPr>
            </w:pPr>
            <w:r w:rsidRPr="00966FBB">
              <w:rPr>
                <w:rFonts w:ascii="Garamond" w:hAnsi="Garamond" w:cs="Calibri"/>
                <w:color w:val="000000"/>
                <w:lang w:bidi="hi-IN"/>
              </w:rPr>
              <w:t>23/12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Golden Legand  Leasing and Finance Ltd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Tirath Ram, Sanjeev Kumar and Sons HUF, Simla  Rani, Anju  Gupta, Nishant  Khandelwal, Shweta  Khandelwal, Sonika  Granites  Private  Limited(now  known  as  Madhav  Power  Private Limited), G.P. Singh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66FBB" w:rsidRDefault="000774AB" w:rsidP="00120EDE">
            <w:pPr>
              <w:shd w:val="clear" w:color="auto" w:fill="FFFFFF"/>
              <w:jc w:val="both"/>
              <w:rPr>
                <w:rFonts w:ascii="Garamond" w:hAnsi="Garamond" w:cs="Calibri"/>
                <w:color w:val="000000"/>
                <w:lang w:bidi="hi-IN"/>
              </w:rPr>
            </w:pPr>
            <w:r w:rsidRPr="00966FBB">
              <w:rPr>
                <w:rFonts w:ascii="Garamond" w:hAnsi="Garamond" w:cs="Calibri"/>
                <w:color w:val="000000"/>
              </w:rPr>
              <w:t>Section  16 of SCRA  read  with  SEBI  Notification S.O.  184E dated March 01, 2000, and  Sections  13 and 18 of the SCRA read with Section 2 (i) of the SCRA</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right"/>
              <w:rPr>
                <w:rFonts w:ascii="Garamond" w:hAnsi="Garamond" w:cs="Calibri"/>
                <w:color w:val="000000"/>
                <w:lang w:bidi="hi-IN"/>
              </w:rPr>
            </w:pPr>
            <w:r w:rsidRPr="00966FBB">
              <w:rPr>
                <w:rFonts w:ascii="Garamond" w:hAnsi="Garamond" w:cs="Calibri"/>
                <w:color w:val="000000"/>
                <w:lang w:bidi="hi-IN"/>
              </w:rPr>
              <w:t>2</w:t>
            </w:r>
            <w:r w:rsidR="00120EDE" w:rsidRPr="00966FBB">
              <w:rPr>
                <w:rFonts w:ascii="Garamond" w:hAnsi="Garamond" w:cs="Calibri"/>
                <w:color w:val="000000"/>
                <w:lang w:bidi="hi-IN"/>
              </w:rPr>
              <w:t>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23/12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Achal Investment Limited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Parag Mittal, Prakash Chand Agrawal</w:t>
            </w:r>
          </w:p>
        </w:tc>
        <w:tc>
          <w:tcPr>
            <w:tcW w:w="2268" w:type="dxa"/>
            <w:tcBorders>
              <w:top w:val="single" w:sz="4" w:space="0" w:color="auto"/>
              <w:left w:val="nil"/>
              <w:bottom w:val="single" w:sz="4" w:space="0" w:color="auto"/>
              <w:right w:val="single" w:sz="4" w:space="0" w:color="auto"/>
            </w:tcBorders>
            <w:shd w:val="clear" w:color="auto" w:fill="auto"/>
          </w:tcPr>
          <w:p w:rsidR="00120EDE" w:rsidRPr="00966FBB" w:rsidRDefault="000774AB" w:rsidP="00120EDE">
            <w:pPr>
              <w:shd w:val="clear" w:color="auto" w:fill="FFFFFF"/>
              <w:jc w:val="both"/>
              <w:rPr>
                <w:rFonts w:ascii="Garamond" w:hAnsi="Garamond" w:cs="Calibri"/>
                <w:color w:val="000000"/>
                <w:lang w:bidi="hi-IN"/>
              </w:rPr>
            </w:pPr>
            <w:r w:rsidRPr="00966FBB">
              <w:rPr>
                <w:rFonts w:ascii="Garamond" w:hAnsi="Garamond" w:cs="Calibri"/>
                <w:color w:val="000000"/>
              </w:rPr>
              <w:t>Section 15A (a) of the SEBI Act foe voilation of Section 11C (2) and (3) of the SEBI Act, 1992</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cs="Calibri"/>
                <w:color w:val="000000"/>
                <w:lang w:bidi="hi-IN"/>
              </w:rPr>
            </w:pPr>
            <w:r w:rsidRPr="00966FBB">
              <w:rPr>
                <w:rFonts w:ascii="Garamond" w:hAnsi="Garamond" w:cs="Calibri"/>
                <w:color w:val="000000"/>
                <w:lang w:bidi="hi-IN"/>
              </w:rPr>
              <w:t>1,00,000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23/12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rPr>
              <w:t>Ashok Kumar Sharma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66FBB" w:rsidRDefault="000774AB" w:rsidP="00120EDE">
            <w:pPr>
              <w:shd w:val="clear" w:color="auto" w:fill="FFFFFF"/>
              <w:jc w:val="both"/>
              <w:rPr>
                <w:rFonts w:ascii="Garamond" w:hAnsi="Garamond" w:cs="Calibri"/>
                <w:color w:val="000000"/>
                <w:lang w:bidi="hi-IN"/>
              </w:rPr>
            </w:pPr>
            <w:r w:rsidRPr="00966FBB">
              <w:rPr>
                <w:rFonts w:ascii="Garamond" w:hAnsi="Garamond" w:cs="Calibri"/>
                <w:color w:val="000000"/>
              </w:rPr>
              <w:t>Regulations3(a), (b),  (c)  &amp;  (d)  &amp;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0774AB" w:rsidP="00120EDE">
            <w:pPr>
              <w:jc w:val="right"/>
              <w:rPr>
                <w:rFonts w:ascii="Garamond" w:hAnsi="Garamond" w:cs="Calibri"/>
                <w:color w:val="000000"/>
                <w:lang w:bidi="hi-IN"/>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23/12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0774AB" w:rsidP="00120EDE">
            <w:pPr>
              <w:jc w:val="both"/>
              <w:rPr>
                <w:rFonts w:ascii="Garamond" w:eastAsia="Times New Roman" w:hAnsi="Garamond" w:cs="Calibri"/>
                <w:color w:val="000000"/>
                <w:lang w:val="en-US"/>
              </w:rPr>
            </w:pPr>
            <w:r w:rsidRPr="00966FBB">
              <w:rPr>
                <w:rFonts w:ascii="Garamond" w:hAnsi="Garamond" w:cs="Calibri"/>
                <w:color w:val="000000"/>
              </w:rPr>
              <w:t>Inventure Growth &amp; Securities Ltd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0774AB" w:rsidP="00120EDE">
            <w:pPr>
              <w:jc w:val="both"/>
              <w:rPr>
                <w:rFonts w:ascii="Garamond" w:eastAsia="Times New Roman" w:hAnsi="Garamond" w:cs="Calibri"/>
                <w:color w:val="000000"/>
                <w:lang w:val="en-US"/>
              </w:rPr>
            </w:pPr>
            <w:r w:rsidRPr="00966FBB">
              <w:rPr>
                <w:rFonts w:ascii="Garamond" w:hAnsi="Garamond" w:cs="Calibri"/>
                <w:color w:val="000000"/>
              </w:rPr>
              <w:t>Inventure Growth &amp; Securities Ltd</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0774AB"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 xml:space="preserve">Section 23D of the SCRA, 1956 ; regulation  26(xx)  of  </w:t>
            </w:r>
            <w:r w:rsidRPr="00966FBB">
              <w:rPr>
                <w:rFonts w:ascii="Garamond" w:hAnsi="Garamond" w:cs="Calibri"/>
                <w:color w:val="000000"/>
              </w:rPr>
              <w:lastRenderedPageBreak/>
              <w:t>the  Stock Broker Regulations, 1992</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cs="Calibri"/>
                <w:color w:val="000000"/>
                <w:lang w:bidi="hi-IN"/>
              </w:rPr>
            </w:pPr>
            <w:r w:rsidRPr="009B4A70">
              <w:rPr>
                <w:rFonts w:ascii="Garamond" w:eastAsia="Times New Roman" w:hAnsi="Garamond" w:cs="Calibri"/>
                <w:color w:val="000000"/>
              </w:rPr>
              <w:lastRenderedPageBreak/>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lastRenderedPageBreak/>
              <w:t>57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Laxmi Narayan Rawat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 3 (a), 4(1)and 4(2)(a)of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986AD3" w:rsidP="00120EDE">
            <w:pPr>
              <w:jc w:val="right"/>
              <w:rPr>
                <w:rFonts w:ascii="Garamond" w:hAnsi="Garamond" w:cs="Calibri"/>
                <w:color w:val="000000"/>
                <w:lang w:bidi="hi-IN"/>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Ashok Kumar Todi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 3(a), (b), (c) &amp; (d) and Regulation4(1) &amp;4(2)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right"/>
              <w:rPr>
                <w:rFonts w:ascii="Garamond" w:hAnsi="Garamond" w:cs="Calibri"/>
                <w:color w:val="000000"/>
                <w:lang w:bidi="hi-IN"/>
              </w:rPr>
            </w:pPr>
            <w:r w:rsidRPr="00966FBB">
              <w:rPr>
                <w:rFonts w:ascii="Garamond" w:hAnsi="Garamond" w:cs="Calibri"/>
                <w:color w:val="000000"/>
                <w:lang w:bidi="hi-IN"/>
              </w:rPr>
              <w:t>5,00,000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59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USG Tech Solutions Pvt Ltd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Satish Kumar Gupta</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Regulations 13(4A) read with 13(5) 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986AD3" w:rsidP="00120EDE">
            <w:pPr>
              <w:jc w:val="right"/>
              <w:rPr>
                <w:rFonts w:ascii="Garamond" w:hAnsi="Garamond" w:cs="Calibri"/>
                <w:color w:val="000000"/>
                <w:lang w:bidi="hi-IN"/>
              </w:rPr>
            </w:pPr>
            <w:r w:rsidRPr="00966FBB">
              <w:rPr>
                <w:rFonts w:ascii="Garamond" w:hAnsi="Garamond" w:cs="Calibri"/>
                <w:color w:val="000000"/>
                <w:lang w:bidi="hi-IN"/>
              </w:rPr>
              <w:t>1</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60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Sanwariya Consumer Ltd.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Satish Kumar Agrawal</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 7(2)(a) and  clause  6  of  the  Code ofConduct  read with  regulation  9(1)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986AD3" w:rsidP="00120EDE">
            <w:pPr>
              <w:jc w:val="right"/>
              <w:rPr>
                <w:rFonts w:ascii="Garamond" w:hAnsi="Garamond" w:cs="Calibri"/>
                <w:color w:val="000000"/>
                <w:lang w:bidi="hi-IN"/>
              </w:rPr>
            </w:pPr>
            <w:r w:rsidRPr="00966FBB">
              <w:rPr>
                <w:rFonts w:ascii="Garamond" w:hAnsi="Garamond" w:cs="Calibri"/>
                <w:color w:val="000000"/>
                <w:lang w:bidi="hi-IN"/>
              </w:rPr>
              <w:t>4</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61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Sanwariya Consumer Ltd</w:t>
            </w:r>
            <w:r w:rsidR="00120EDE" w:rsidRPr="009B4A70">
              <w:rPr>
                <w:rFonts w:ascii="Garamond" w:eastAsia="Times New Roman" w:hAnsi="Garamond" w:cs="Calibri"/>
                <w:color w:val="000000"/>
              </w:rPr>
              <w:t>.</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NS Agrawal Trading Corporation Ltd</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Clause  6  of  Code  of  Conduct  read  with regulation 9 (1) of the PIT Regulations on 17occasions during the Investigation Period</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986AD3" w:rsidP="00120EDE">
            <w:pPr>
              <w:jc w:val="right"/>
              <w:rPr>
                <w:rFonts w:ascii="Garamond" w:hAnsi="Garamond" w:cs="Calibri"/>
                <w:color w:val="000000"/>
                <w:lang w:bidi="hi-IN"/>
              </w:rPr>
            </w:pPr>
            <w:r w:rsidRPr="00966FBB">
              <w:rPr>
                <w:rFonts w:ascii="Garamond" w:hAnsi="Garamond" w:cs="Calibri"/>
                <w:color w:val="000000"/>
                <w:lang w:bidi="hi-IN"/>
              </w:rPr>
              <w:t>9</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62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Trading in Illiquid Stock Options onBSE</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986AD3" w:rsidP="00120EDE">
            <w:pPr>
              <w:jc w:val="both"/>
              <w:rPr>
                <w:rFonts w:ascii="Garamond" w:eastAsia="Times New Roman" w:hAnsi="Garamond" w:cs="Calibri"/>
                <w:color w:val="000000"/>
                <w:lang w:val="en-US"/>
              </w:rPr>
            </w:pPr>
            <w:r w:rsidRPr="00966FBB">
              <w:rPr>
                <w:rFonts w:ascii="Garamond" w:hAnsi="Garamond" w:cs="Calibri"/>
                <w:color w:val="000000"/>
              </w:rPr>
              <w:t>Nikhil Doshi HUF</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986AD3"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30113D" w:rsidP="00120EDE">
            <w:pPr>
              <w:jc w:val="right"/>
              <w:rPr>
                <w:rFonts w:ascii="Garamond" w:hAnsi="Garamond" w:cs="Calibri"/>
                <w:color w:val="000000"/>
                <w:lang w:bidi="hi-IN"/>
              </w:rPr>
            </w:pPr>
            <w:r w:rsidRPr="00966FBB">
              <w:rPr>
                <w:rFonts w:ascii="Garamond" w:hAnsi="Garamond" w:cs="Calibri"/>
                <w:color w:val="000000"/>
                <w:lang w:bidi="hi-IN"/>
              </w:rPr>
              <w:t>5</w:t>
            </w:r>
            <w:r w:rsidR="00120EDE" w:rsidRPr="00966FBB">
              <w:rPr>
                <w:rFonts w:ascii="Garamond" w:hAnsi="Garamond" w:cs="Calibri"/>
                <w:color w:val="000000"/>
                <w:lang w:bidi="hi-IN"/>
              </w:rPr>
              <w:t>,00,000</w:t>
            </w:r>
          </w:p>
        </w:tc>
      </w:tr>
      <w:tr w:rsidR="00120EDE"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20EDE" w:rsidRPr="00966FBB" w:rsidRDefault="00607698" w:rsidP="00120EDE">
            <w:pPr>
              <w:jc w:val="both"/>
              <w:rPr>
                <w:rFonts w:ascii="Garamond" w:hAnsi="Garamond"/>
                <w:color w:val="000000"/>
                <w:lang w:val="en-IN" w:eastAsia="en-IN" w:bidi="hi-IN"/>
              </w:rPr>
            </w:pPr>
            <w:r w:rsidRPr="00966FBB">
              <w:rPr>
                <w:rFonts w:ascii="Garamond" w:hAnsi="Garamond"/>
                <w:color w:val="000000"/>
                <w:lang w:val="en-IN" w:eastAsia="en-IN" w:bidi="hi-IN"/>
              </w:rPr>
              <w:t>63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20EDE" w:rsidRPr="00966FBB" w:rsidRDefault="000774AB" w:rsidP="00120EDE">
            <w:pPr>
              <w:jc w:val="both"/>
              <w:rPr>
                <w:rFonts w:ascii="Garamond" w:hAnsi="Garamond" w:cs="Calibri"/>
                <w:color w:val="000000"/>
                <w:lang w:bidi="hi-IN"/>
              </w:rPr>
            </w:pPr>
            <w:r w:rsidRPr="00966FBB">
              <w:rPr>
                <w:rFonts w:ascii="Garamond" w:hAnsi="Garamond" w:cs="Calibri"/>
                <w:color w:val="000000"/>
                <w:lang w:bidi="hi-IN"/>
              </w:rPr>
              <w:t>24/12</w:t>
            </w:r>
            <w:r w:rsidR="00120EDE"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120EDE" w:rsidRPr="009B4A70" w:rsidRDefault="0030113D" w:rsidP="00120EDE">
            <w:pPr>
              <w:jc w:val="both"/>
              <w:rPr>
                <w:rFonts w:ascii="Garamond" w:eastAsia="Times New Roman" w:hAnsi="Garamond" w:cs="Calibri"/>
                <w:color w:val="000000"/>
                <w:lang w:val="en-US"/>
              </w:rPr>
            </w:pPr>
            <w:r w:rsidRPr="00966FBB">
              <w:rPr>
                <w:rFonts w:ascii="Garamond" w:hAnsi="Garamond" w:cs="Calibri"/>
                <w:color w:val="000000"/>
              </w:rPr>
              <w:t>Sanwariya Consumer Ltd</w:t>
            </w:r>
          </w:p>
        </w:tc>
        <w:tc>
          <w:tcPr>
            <w:tcW w:w="1275" w:type="dxa"/>
            <w:tcBorders>
              <w:top w:val="single" w:sz="4" w:space="0" w:color="auto"/>
              <w:left w:val="nil"/>
              <w:bottom w:val="single" w:sz="4" w:space="0" w:color="auto"/>
              <w:right w:val="single" w:sz="4" w:space="0" w:color="auto"/>
            </w:tcBorders>
            <w:shd w:val="clear" w:color="auto" w:fill="auto"/>
            <w:noWrap/>
          </w:tcPr>
          <w:p w:rsidR="00120EDE" w:rsidRPr="00966FBB" w:rsidRDefault="00120EDE" w:rsidP="00120EDE">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20EDE" w:rsidRPr="009B4A70" w:rsidRDefault="0030113D" w:rsidP="00120EDE">
            <w:pPr>
              <w:jc w:val="both"/>
              <w:rPr>
                <w:rFonts w:ascii="Garamond" w:eastAsia="Times New Roman" w:hAnsi="Garamond" w:cs="Calibri"/>
                <w:color w:val="000000"/>
                <w:lang w:val="en-US"/>
              </w:rPr>
            </w:pPr>
            <w:r w:rsidRPr="00966FBB">
              <w:rPr>
                <w:rFonts w:ascii="Garamond" w:hAnsi="Garamond" w:cs="Calibri"/>
                <w:color w:val="000000"/>
              </w:rPr>
              <w:t>M/s. Srinathji Dall Mills</w:t>
            </w:r>
          </w:p>
        </w:tc>
        <w:tc>
          <w:tcPr>
            <w:tcW w:w="2268" w:type="dxa"/>
            <w:tcBorders>
              <w:top w:val="single" w:sz="4" w:space="0" w:color="auto"/>
              <w:left w:val="nil"/>
              <w:bottom w:val="single" w:sz="4" w:space="0" w:color="auto"/>
              <w:right w:val="single" w:sz="4" w:space="0" w:color="auto"/>
            </w:tcBorders>
            <w:shd w:val="clear" w:color="auto" w:fill="auto"/>
          </w:tcPr>
          <w:p w:rsidR="00120EDE" w:rsidRPr="009B4A70" w:rsidRDefault="0030113D" w:rsidP="00120EDE">
            <w:pPr>
              <w:shd w:val="clear" w:color="auto" w:fill="FFFFFF"/>
              <w:jc w:val="both"/>
              <w:rPr>
                <w:rFonts w:ascii="Garamond" w:eastAsia="Times New Roman" w:hAnsi="Garamond" w:cs="Calibri"/>
                <w:color w:val="000000"/>
                <w:lang w:val="en-US"/>
              </w:rPr>
            </w:pPr>
            <w:r w:rsidRPr="00966FBB">
              <w:rPr>
                <w:rFonts w:ascii="Garamond" w:hAnsi="Garamond" w:cs="Calibri"/>
                <w:color w:val="000000"/>
              </w:rPr>
              <w:t>Clause 6 of Code of Conduct read with  regulation  9  (1)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120EDE" w:rsidRPr="00966FBB" w:rsidRDefault="0030113D" w:rsidP="00120EDE">
            <w:pPr>
              <w:jc w:val="right"/>
              <w:rPr>
                <w:rFonts w:ascii="Garamond" w:hAnsi="Garamond" w:cs="Calibri"/>
                <w:color w:val="000000"/>
                <w:lang w:bidi="hi-IN"/>
              </w:rPr>
            </w:pPr>
            <w:r w:rsidRPr="00966FBB">
              <w:rPr>
                <w:rFonts w:ascii="Garamond" w:hAnsi="Garamond" w:cs="Calibri"/>
                <w:color w:val="000000"/>
                <w:lang w:bidi="hi-IN"/>
              </w:rPr>
              <w:t>7,0</w:t>
            </w:r>
            <w:r w:rsidR="00120EDE" w:rsidRPr="00966FBB">
              <w:rPr>
                <w:rFonts w:ascii="Garamond" w:hAnsi="Garamond" w:cs="Calibri"/>
                <w:color w:val="000000"/>
                <w:lang w:bidi="hi-IN"/>
              </w:rPr>
              <w:t>0,000</w:t>
            </w:r>
          </w:p>
        </w:tc>
      </w:tr>
      <w:tr w:rsidR="0030113D"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30113D" w:rsidRPr="00966FBB" w:rsidRDefault="00607698" w:rsidP="0030113D">
            <w:pPr>
              <w:jc w:val="both"/>
              <w:rPr>
                <w:rFonts w:ascii="Garamond" w:hAnsi="Garamond"/>
                <w:color w:val="000000"/>
                <w:lang w:val="en-IN" w:eastAsia="en-IN" w:bidi="hi-IN"/>
              </w:rPr>
            </w:pPr>
            <w:r w:rsidRPr="00966FBB">
              <w:rPr>
                <w:rFonts w:ascii="Garamond" w:hAnsi="Garamond"/>
                <w:color w:val="000000"/>
                <w:lang w:val="en-IN" w:eastAsia="en-IN" w:bidi="hi-IN"/>
              </w:rPr>
              <w:t>64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24/12/2021</w:t>
            </w:r>
          </w:p>
        </w:tc>
        <w:tc>
          <w:tcPr>
            <w:tcW w:w="1701"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rPr>
                <w:rFonts w:ascii="Garamond" w:hAnsi="Garamond" w:cs="Calibri"/>
                <w:color w:val="000000"/>
              </w:rPr>
            </w:pPr>
            <w:r w:rsidRPr="00966FBB">
              <w:rPr>
                <w:rFonts w:ascii="Garamond" w:hAnsi="Garamond" w:cs="Calibri"/>
                <w:color w:val="000000"/>
              </w:rPr>
              <w:t>Rajlaxmi Industries Limited</w:t>
            </w:r>
          </w:p>
        </w:tc>
        <w:tc>
          <w:tcPr>
            <w:tcW w:w="1275"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30113D" w:rsidRPr="009B4A70" w:rsidRDefault="0030113D" w:rsidP="0030113D">
            <w:pPr>
              <w:jc w:val="both"/>
              <w:rPr>
                <w:rFonts w:ascii="Garamond" w:eastAsia="Times New Roman" w:hAnsi="Garamond" w:cs="Calibri"/>
                <w:color w:val="000000"/>
                <w:lang w:val="en-US"/>
              </w:rPr>
            </w:pPr>
            <w:r w:rsidRPr="00966FBB">
              <w:rPr>
                <w:rFonts w:ascii="Garamond" w:hAnsi="Garamond" w:cs="Calibri"/>
                <w:color w:val="000000"/>
              </w:rPr>
              <w:t>Mr. Brij Bhushan Singal, Mr. Neeraj Singal, Mr. Neeraj Singal (HUF), Ms. Ritu Singal, Ms. Uma Singal</w:t>
            </w:r>
          </w:p>
        </w:tc>
        <w:tc>
          <w:tcPr>
            <w:tcW w:w="2268" w:type="dxa"/>
            <w:tcBorders>
              <w:top w:val="single" w:sz="4" w:space="0" w:color="auto"/>
              <w:left w:val="nil"/>
              <w:bottom w:val="single" w:sz="4" w:space="0" w:color="auto"/>
              <w:right w:val="single" w:sz="4" w:space="0" w:color="auto"/>
            </w:tcBorders>
            <w:shd w:val="clear" w:color="auto" w:fill="auto"/>
          </w:tcPr>
          <w:p w:rsidR="0030113D" w:rsidRPr="009B4A70" w:rsidRDefault="0030113D" w:rsidP="0030113D">
            <w:pPr>
              <w:shd w:val="clear" w:color="auto" w:fill="FFFFFF"/>
              <w:jc w:val="both"/>
              <w:rPr>
                <w:rFonts w:ascii="Garamond" w:eastAsia="Times New Roman" w:hAnsi="Garamond" w:cs="Calibri"/>
                <w:color w:val="000000"/>
                <w:lang w:val="en-US"/>
              </w:rPr>
            </w:pPr>
            <w:r w:rsidRPr="00966FBB">
              <w:rPr>
                <w:rFonts w:ascii="Garamond" w:hAnsi="Garamond" w:cs="Calibri"/>
                <w:color w:val="000000"/>
              </w:rPr>
              <w:t>Regulation 29(1)  read  withRegulation  29(3) of the  SAST Regulations and thus, the Noticees are liable for penalty under Section 15A(b) of the SEBI Act.</w:t>
            </w:r>
          </w:p>
        </w:tc>
        <w:tc>
          <w:tcPr>
            <w:tcW w:w="1417"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right"/>
              <w:rPr>
                <w:rFonts w:ascii="Garamond" w:hAnsi="Garamond" w:cs="Calibri"/>
                <w:color w:val="000000"/>
                <w:lang w:bidi="hi-IN"/>
              </w:rPr>
            </w:pPr>
            <w:r w:rsidRPr="00966FBB">
              <w:rPr>
                <w:rFonts w:ascii="Garamond" w:hAnsi="Garamond" w:cs="Calibri"/>
                <w:color w:val="000000"/>
                <w:lang w:bidi="hi-IN"/>
              </w:rPr>
              <w:t>2,00,000</w:t>
            </w:r>
          </w:p>
        </w:tc>
      </w:tr>
      <w:tr w:rsidR="0030113D"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30113D" w:rsidRPr="00966FBB" w:rsidRDefault="00607698" w:rsidP="0030113D">
            <w:pPr>
              <w:jc w:val="both"/>
              <w:rPr>
                <w:rFonts w:ascii="Garamond" w:hAnsi="Garamond"/>
                <w:color w:val="000000"/>
                <w:lang w:val="en-IN" w:eastAsia="en-IN" w:bidi="hi-IN"/>
              </w:rPr>
            </w:pPr>
            <w:r w:rsidRPr="00966FBB">
              <w:rPr>
                <w:rFonts w:ascii="Garamond" w:hAnsi="Garamond"/>
                <w:color w:val="000000"/>
                <w:lang w:val="en-IN" w:eastAsia="en-IN" w:bidi="hi-IN"/>
              </w:rPr>
              <w:t>65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24/12/2021</w:t>
            </w:r>
          </w:p>
        </w:tc>
        <w:tc>
          <w:tcPr>
            <w:tcW w:w="1701" w:type="dxa"/>
            <w:tcBorders>
              <w:top w:val="single" w:sz="4" w:space="0" w:color="auto"/>
              <w:left w:val="nil"/>
              <w:bottom w:val="single" w:sz="4" w:space="0" w:color="auto"/>
              <w:right w:val="single" w:sz="4" w:space="0" w:color="auto"/>
            </w:tcBorders>
            <w:shd w:val="clear" w:color="auto" w:fill="auto"/>
            <w:noWrap/>
          </w:tcPr>
          <w:p w:rsidR="0030113D" w:rsidRPr="009B4A70" w:rsidRDefault="0030113D" w:rsidP="0030113D">
            <w:pPr>
              <w:jc w:val="both"/>
              <w:rPr>
                <w:rFonts w:ascii="Garamond" w:eastAsia="Times New Roman" w:hAnsi="Garamond" w:cs="Calibri"/>
                <w:color w:val="000000"/>
                <w:lang w:val="en-US"/>
              </w:rPr>
            </w:pPr>
            <w:r w:rsidRPr="00966FBB">
              <w:rPr>
                <w:rFonts w:ascii="Garamond" w:hAnsi="Garamond" w:cs="Calibri"/>
                <w:color w:val="000000"/>
              </w:rPr>
              <w:t>Rutron International Ltd.</w:t>
            </w:r>
          </w:p>
        </w:tc>
        <w:tc>
          <w:tcPr>
            <w:tcW w:w="1275"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30113D" w:rsidRPr="009B4A70" w:rsidRDefault="0030113D" w:rsidP="0030113D">
            <w:pPr>
              <w:jc w:val="both"/>
              <w:rPr>
                <w:rFonts w:ascii="Garamond" w:eastAsia="Times New Roman" w:hAnsi="Garamond" w:cs="Calibri"/>
                <w:color w:val="000000"/>
                <w:lang w:val="en-US"/>
              </w:rPr>
            </w:pPr>
            <w:r w:rsidRPr="00966FBB">
              <w:rPr>
                <w:rFonts w:ascii="Garamond" w:hAnsi="Garamond" w:cs="Calibri"/>
                <w:color w:val="000000"/>
              </w:rPr>
              <w:t xml:space="preserve">Dhanlakshmi Brokers Private Limited, Padma Impex Private Limited, Manju Kahndelia, Comfort Intech Limited, Esquire Enclave Private Limited, Helpful Investment </w:t>
            </w:r>
            <w:r w:rsidRPr="00966FBB">
              <w:rPr>
                <w:rFonts w:ascii="Garamond" w:hAnsi="Garamond" w:cs="Calibri"/>
                <w:color w:val="000000"/>
              </w:rPr>
              <w:lastRenderedPageBreak/>
              <w:t>Advisory Private Limited &amp; 4 others</w:t>
            </w:r>
          </w:p>
        </w:tc>
        <w:tc>
          <w:tcPr>
            <w:tcW w:w="2268" w:type="dxa"/>
            <w:tcBorders>
              <w:top w:val="single" w:sz="4" w:space="0" w:color="auto"/>
              <w:left w:val="nil"/>
              <w:bottom w:val="single" w:sz="4" w:space="0" w:color="auto"/>
              <w:right w:val="single" w:sz="4" w:space="0" w:color="auto"/>
            </w:tcBorders>
            <w:shd w:val="clear" w:color="auto" w:fill="auto"/>
          </w:tcPr>
          <w:p w:rsidR="0030113D" w:rsidRPr="009B4A70" w:rsidRDefault="0030113D" w:rsidP="0030113D">
            <w:pPr>
              <w:shd w:val="clear" w:color="auto" w:fill="FFFFFF"/>
              <w:jc w:val="both"/>
              <w:rPr>
                <w:rFonts w:ascii="Garamond" w:eastAsia="Times New Roman" w:hAnsi="Garamond" w:cs="Calibri"/>
                <w:color w:val="000000"/>
                <w:lang w:val="en-US"/>
              </w:rPr>
            </w:pPr>
            <w:r w:rsidRPr="00966FBB">
              <w:rPr>
                <w:rFonts w:ascii="Garamond" w:hAnsi="Garamond" w:cs="Calibri"/>
                <w:color w:val="000000"/>
              </w:rPr>
              <w:lastRenderedPageBreak/>
              <w:t>Regulation  3(a),  3(b),  3(c),  3(d),  4(1),  4(2)(a)  and  4(2)(e)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right"/>
              <w:rPr>
                <w:rFonts w:ascii="Garamond" w:hAnsi="Garamond" w:cs="Calibri"/>
                <w:color w:val="000000"/>
                <w:lang w:bidi="hi-IN"/>
              </w:rPr>
            </w:pPr>
            <w:r w:rsidRPr="00966FBB">
              <w:rPr>
                <w:rFonts w:ascii="Garamond" w:hAnsi="Garamond" w:cs="Calibri"/>
                <w:color w:val="000000"/>
                <w:lang w:bidi="hi-IN"/>
              </w:rPr>
              <w:t>50,00,000</w:t>
            </w:r>
          </w:p>
        </w:tc>
      </w:tr>
      <w:tr w:rsidR="0030113D"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30113D" w:rsidRPr="00966FBB" w:rsidRDefault="00607698" w:rsidP="0030113D">
            <w:pPr>
              <w:jc w:val="both"/>
              <w:rPr>
                <w:rFonts w:ascii="Garamond" w:hAnsi="Garamond"/>
                <w:color w:val="000000"/>
                <w:lang w:val="en-IN" w:eastAsia="en-IN" w:bidi="hi-IN"/>
              </w:rPr>
            </w:pPr>
            <w:r w:rsidRPr="00966FBB">
              <w:rPr>
                <w:rFonts w:ascii="Garamond" w:hAnsi="Garamond"/>
                <w:color w:val="000000"/>
                <w:lang w:val="en-IN" w:eastAsia="en-IN" w:bidi="hi-IN"/>
              </w:rPr>
              <w:lastRenderedPageBreak/>
              <w:t>66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24/12/2021</w:t>
            </w:r>
          </w:p>
        </w:tc>
        <w:tc>
          <w:tcPr>
            <w:tcW w:w="1701" w:type="dxa"/>
            <w:tcBorders>
              <w:top w:val="single" w:sz="4" w:space="0" w:color="auto"/>
              <w:left w:val="nil"/>
              <w:bottom w:val="single" w:sz="4" w:space="0" w:color="auto"/>
              <w:right w:val="single" w:sz="4" w:space="0" w:color="auto"/>
            </w:tcBorders>
            <w:shd w:val="clear" w:color="auto" w:fill="auto"/>
            <w:noWrap/>
          </w:tcPr>
          <w:p w:rsidR="0030113D" w:rsidRPr="009B4A70" w:rsidRDefault="0030113D" w:rsidP="0030113D">
            <w:pPr>
              <w:jc w:val="both"/>
              <w:rPr>
                <w:rFonts w:ascii="Garamond" w:eastAsia="Times New Roman" w:hAnsi="Garamond" w:cs="Calibri"/>
                <w:color w:val="000000"/>
              </w:rPr>
            </w:pPr>
            <w:r w:rsidRPr="00966FBB">
              <w:rPr>
                <w:rFonts w:ascii="Garamond" w:hAnsi="Garamond" w:cs="Calibri"/>
                <w:color w:val="000000"/>
              </w:rPr>
              <w:t>GDR Issues of Cals Refineries Ltd</w:t>
            </w:r>
          </w:p>
        </w:tc>
        <w:tc>
          <w:tcPr>
            <w:tcW w:w="1275"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30113D" w:rsidRPr="009B4A70" w:rsidRDefault="0030113D" w:rsidP="0030113D">
            <w:pPr>
              <w:jc w:val="both"/>
              <w:rPr>
                <w:rFonts w:ascii="Garamond" w:eastAsia="Times New Roman" w:hAnsi="Garamond" w:cs="Calibri"/>
                <w:color w:val="000000"/>
              </w:rPr>
            </w:pPr>
            <w:r w:rsidRPr="00966FBB">
              <w:rPr>
                <w:rFonts w:ascii="Garamond" w:hAnsi="Garamond" w:cs="Calibri"/>
                <w:color w:val="000000"/>
              </w:rPr>
              <w:t>Cals Refineries Ltd, Devanathan  Sundararajan, Asia Texx Enterprises Ltd, Gagan Rastogi, Deep Kumar Rastogi, Sarvesh Kumar Goorha, Ravi Chilikuri, Sanjay Rai Malhotra</w:t>
            </w:r>
          </w:p>
        </w:tc>
        <w:tc>
          <w:tcPr>
            <w:tcW w:w="2268" w:type="dxa"/>
            <w:tcBorders>
              <w:top w:val="single" w:sz="4" w:space="0" w:color="auto"/>
              <w:left w:val="nil"/>
              <w:bottom w:val="single" w:sz="4" w:space="0" w:color="auto"/>
              <w:right w:val="single" w:sz="4" w:space="0" w:color="auto"/>
            </w:tcBorders>
            <w:shd w:val="clear" w:color="auto" w:fill="auto"/>
          </w:tcPr>
          <w:p w:rsidR="0030113D" w:rsidRPr="009B4A70" w:rsidRDefault="0030113D" w:rsidP="0030113D">
            <w:pPr>
              <w:shd w:val="clear" w:color="auto" w:fill="FFFFFF"/>
              <w:jc w:val="both"/>
              <w:rPr>
                <w:rFonts w:ascii="Garamond" w:eastAsia="Times New Roman" w:hAnsi="Garamond" w:cs="Calibri"/>
                <w:color w:val="000000"/>
              </w:rPr>
            </w:pPr>
            <w:r w:rsidRPr="00966FBB">
              <w:rPr>
                <w:rFonts w:ascii="Garamond" w:hAnsi="Garamond" w:cs="Calibri"/>
                <w:color w:val="000000"/>
              </w:rPr>
              <w:t>Clause  35  of  Listing  Agreement  read  with Section  21 and 23E  of  SCRA.  Section 12A(a), (b), (c) of SEBI Act, Regulations 3(b), (c), (d) and Regulations 4(2)(c), (f), (k) and (r)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30113D" w:rsidRPr="00966FBB" w:rsidRDefault="0030113D" w:rsidP="0030113D">
            <w:pPr>
              <w:jc w:val="right"/>
              <w:rPr>
                <w:rFonts w:ascii="Garamond" w:hAnsi="Garamond" w:cs="Calibri"/>
                <w:color w:val="000000"/>
                <w:lang w:bidi="hi-IN"/>
              </w:rPr>
            </w:pPr>
            <w:r w:rsidRPr="00966FBB">
              <w:rPr>
                <w:rFonts w:ascii="Garamond" w:hAnsi="Garamond" w:cs="Calibri"/>
                <w:color w:val="000000"/>
              </w:rPr>
              <w:t>16,80,00,000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67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9E6012" w:rsidP="009E6012">
            <w:pPr>
              <w:jc w:val="both"/>
              <w:rPr>
                <w:rFonts w:ascii="Garamond" w:eastAsia="Times New Roman" w:hAnsi="Garamond" w:cs="Calibri"/>
                <w:color w:val="000000"/>
              </w:rPr>
            </w:pPr>
            <w:r w:rsidRPr="009B4A70">
              <w:rPr>
                <w:rFonts w:ascii="Garamond" w:eastAsia="Times New Roman" w:hAnsi="Garamond" w:cs="Calibri"/>
                <w:color w:val="000000"/>
              </w:rPr>
              <w:t>USG Tech Solutions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9E6012" w:rsidP="009E6012">
            <w:pPr>
              <w:jc w:val="both"/>
              <w:rPr>
                <w:rFonts w:ascii="Garamond" w:eastAsia="Times New Roman" w:hAnsi="Garamond" w:cs="Calibri"/>
                <w:color w:val="000000"/>
              </w:rPr>
            </w:pPr>
            <w:r w:rsidRPr="009B4A70">
              <w:rPr>
                <w:rFonts w:ascii="Garamond" w:eastAsia="Times New Roman" w:hAnsi="Garamond" w:cs="Calibri"/>
                <w:color w:val="000000"/>
              </w:rPr>
              <w:t>Sudha Gupta</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9E6012" w:rsidP="009E6012">
            <w:pPr>
              <w:rPr>
                <w:rFonts w:ascii="Garamond" w:eastAsia="Times New Roman" w:hAnsi="Garamond" w:cs="Calibri"/>
                <w:color w:val="000000"/>
              </w:rPr>
            </w:pPr>
            <w:r w:rsidRPr="009B4A70">
              <w:rPr>
                <w:rFonts w:ascii="Garamond" w:eastAsia="Times New Roman" w:hAnsi="Garamond" w:cs="Calibri"/>
                <w:color w:val="000000"/>
              </w:rPr>
              <w:t>Regulations 13(4A) read with 13(5) 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1,00,000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68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9E6012" w:rsidP="009E6012">
            <w:pPr>
              <w:jc w:val="both"/>
              <w:rPr>
                <w:rFonts w:ascii="Garamond" w:eastAsia="Times New Roman" w:hAnsi="Garamond" w:cs="Calibri"/>
                <w:color w:val="000000"/>
              </w:rPr>
            </w:pPr>
            <w:r w:rsidRPr="009B4A70">
              <w:rPr>
                <w:rFonts w:ascii="Garamond" w:eastAsia="Times New Roman" w:hAnsi="Garamond" w:cs="Calibri"/>
                <w:color w:val="000000"/>
              </w:rPr>
              <w:t>Mindtree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9E6012" w:rsidP="009E6012">
            <w:pPr>
              <w:jc w:val="both"/>
              <w:rPr>
                <w:rFonts w:ascii="Garamond" w:eastAsia="Times New Roman" w:hAnsi="Garamond" w:cs="Calibri"/>
                <w:color w:val="000000"/>
              </w:rPr>
            </w:pPr>
            <w:r w:rsidRPr="009B4A70">
              <w:rPr>
                <w:rFonts w:ascii="Garamond" w:eastAsia="Times New Roman" w:hAnsi="Garamond" w:cs="Calibri"/>
                <w:color w:val="000000"/>
              </w:rPr>
              <w:t>Praveen Udhayasuriyan</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9E601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7(2)(a)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1,00,000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69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Titan Company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Ms. Pooja Chauhan</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1506EA"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7(2)(a)of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1506EA" w:rsidP="009E6012">
            <w:pPr>
              <w:jc w:val="right"/>
              <w:rPr>
                <w:rFonts w:ascii="Garamond" w:hAnsi="Garamond" w:cs="Calibri"/>
                <w:color w:val="000000"/>
                <w:lang w:bidi="hi-IN"/>
              </w:rPr>
            </w:pPr>
            <w:r w:rsidRPr="00966FBB">
              <w:rPr>
                <w:rFonts w:ascii="Garamond" w:hAnsi="Garamond" w:cs="Calibri"/>
                <w:color w:val="000000"/>
                <w:lang w:bidi="hi-IN"/>
              </w:rPr>
              <w:t>1</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Mindtree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G V D Prasad Rao</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1506EA"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7(2)(a)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1506EA" w:rsidP="009E6012">
            <w:pPr>
              <w:jc w:val="right"/>
              <w:rPr>
                <w:rFonts w:ascii="Garamond" w:hAnsi="Garamond" w:cs="Calibri"/>
                <w:color w:val="000000"/>
                <w:lang w:bidi="hi-IN"/>
              </w:rPr>
            </w:pPr>
            <w:r w:rsidRPr="009B4A70">
              <w:rPr>
                <w:rFonts w:ascii="Garamond" w:eastAsia="Times New Roman" w:hAnsi="Garamond" w:cs="Calibri"/>
                <w:color w:val="000000"/>
              </w:rPr>
              <w:t>1</w:t>
            </w:r>
            <w:r w:rsidR="009E6012" w:rsidRPr="009B4A70">
              <w:rPr>
                <w:rFonts w:ascii="Garamond" w:eastAsia="Times New Roman" w:hAnsi="Garamond" w:cs="Calibri"/>
                <w:color w:val="000000"/>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Titan Company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 xml:space="preserve">Adjudication </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Mr. Rajesh Chamy</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1506EA"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7(2)(a)of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1506EA" w:rsidP="009E6012">
            <w:pPr>
              <w:jc w:val="right"/>
              <w:rPr>
                <w:rFonts w:ascii="Garamond" w:hAnsi="Garamond" w:cs="Calibri"/>
                <w:color w:val="000000"/>
                <w:lang w:bidi="hi-IN"/>
              </w:rPr>
            </w:pPr>
            <w:r w:rsidRPr="009B4A70">
              <w:rPr>
                <w:rFonts w:ascii="Garamond" w:eastAsia="Times New Roman" w:hAnsi="Garamond" w:cs="Calibri"/>
                <w:color w:val="000000"/>
              </w:rPr>
              <w:t>1</w:t>
            </w:r>
            <w:r w:rsidR="009E6012" w:rsidRPr="009B4A70">
              <w:rPr>
                <w:rFonts w:ascii="Garamond" w:eastAsia="Times New Roman" w:hAnsi="Garamond" w:cs="Calibri"/>
                <w:color w:val="000000"/>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27/12/2021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1506EA" w:rsidP="009E6012">
            <w:pPr>
              <w:jc w:val="both"/>
              <w:rPr>
                <w:rFonts w:ascii="Garamond" w:eastAsia="Times New Roman" w:hAnsi="Garamond" w:cs="Calibri"/>
                <w:color w:val="000000"/>
              </w:rPr>
            </w:pPr>
            <w:r w:rsidRPr="009B4A70">
              <w:rPr>
                <w:rFonts w:ascii="Garamond" w:eastAsia="Times New Roman" w:hAnsi="Garamond" w:cs="Calibri"/>
                <w:color w:val="000000"/>
              </w:rPr>
              <w:t>Bee Pee Rollers Pvt Ltd</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1506EA"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1506EA"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Rajendra Prasad Rohit Kumar HUF</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0C03D6"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1506EA"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Mr. Badal Mohanty</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0C03D6"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0C03D6" w:rsidP="009E6012">
            <w:pPr>
              <w:jc w:val="right"/>
              <w:rPr>
                <w:rFonts w:ascii="Garamond" w:hAnsi="Garamond" w:cs="Calibri"/>
                <w:color w:val="000000"/>
                <w:lang w:bidi="hi-IN"/>
              </w:rPr>
            </w:pPr>
            <w:r w:rsidRPr="00966FBB">
              <w:rPr>
                <w:rFonts w:ascii="Garamond" w:hAnsi="Garamond" w:cs="Calibri"/>
                <w:color w:val="000000"/>
                <w:lang w:bidi="hi-IN"/>
              </w:rPr>
              <w:t>5</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1506EA"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0C03D6" w:rsidP="009E6012">
            <w:pPr>
              <w:jc w:val="both"/>
              <w:rPr>
                <w:rFonts w:ascii="Garamond" w:eastAsia="Times New Roman" w:hAnsi="Garamond" w:cs="Calibri"/>
                <w:color w:val="000000"/>
              </w:rPr>
            </w:pPr>
            <w:r w:rsidRPr="009B4A70">
              <w:rPr>
                <w:rFonts w:ascii="Garamond" w:eastAsia="Times New Roman" w:hAnsi="Garamond" w:cs="Calibri"/>
                <w:color w:val="000000"/>
              </w:rPr>
              <w:t>Lata Goel Family Trust</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0C03D6"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3 (a), 4(1)and 4(2)(a)of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66FBB">
              <w:rPr>
                <w:rFonts w:ascii="Garamond" w:hAnsi="Garamond" w:cs="Calibri"/>
                <w:color w:val="000000"/>
                <w:lang w:bidi="hi-IN"/>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1506EA"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Baid Mercantiles Ltd.</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66FBB">
              <w:rPr>
                <w:rFonts w:ascii="Garamond" w:hAnsi="Garamond" w:cs="Calibri"/>
                <w:color w:val="000000"/>
                <w:lang w:bidi="hi-IN"/>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PMC Fincorp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Golden Chariot Recreations Pvt Ltd, Anju Dewan, Aman  Dewan, Veena  Jain</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Section 12A(a),(b),(c) of SEBI Act read with Regulation 3(a),(b),(c),(d) and Regulations 4(1), 4(2) (a), (e) ofPFUTP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66FBB">
              <w:rPr>
                <w:rFonts w:ascii="Garamond" w:hAnsi="Garamond" w:cs="Calibri"/>
                <w:color w:val="000000"/>
                <w:lang w:bidi="hi-IN"/>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PMC Fincorp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 xml:space="preserve">Prakash  Ferrous  Industries  Private  </w:t>
            </w:r>
            <w:r w:rsidRPr="009B4A70">
              <w:rPr>
                <w:rFonts w:ascii="Garamond" w:eastAsia="Times New Roman" w:hAnsi="Garamond" w:cs="Calibri"/>
                <w:color w:val="000000"/>
              </w:rPr>
              <w:lastRenderedPageBreak/>
              <w:t>Ltd., SS Corporate Securities Ltd.</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lastRenderedPageBreak/>
              <w:t xml:space="preserve">Section 12A(a),(b),(c) of SEBI Actread with </w:t>
            </w:r>
            <w:r w:rsidRPr="009B4A70">
              <w:rPr>
                <w:rFonts w:ascii="Garamond" w:eastAsia="Times New Roman" w:hAnsi="Garamond" w:cs="Calibri"/>
                <w:color w:val="000000"/>
              </w:rPr>
              <w:lastRenderedPageBreak/>
              <w:t>Regulation 3(a),(b),(c),(d) and Regulations 4(1), 4(2) (a), (e) ofPFUTP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D92E72" w:rsidP="009E6012">
            <w:pPr>
              <w:jc w:val="right"/>
              <w:rPr>
                <w:rFonts w:ascii="Garamond" w:hAnsi="Garamond" w:cs="Calibri"/>
                <w:color w:val="000000"/>
                <w:lang w:bidi="hi-IN"/>
              </w:rPr>
            </w:pPr>
            <w:r w:rsidRPr="00966FBB">
              <w:rPr>
                <w:rFonts w:ascii="Garamond" w:hAnsi="Garamond" w:cs="Calibri"/>
                <w:color w:val="000000"/>
                <w:lang w:bidi="hi-IN"/>
              </w:rPr>
              <w:lastRenderedPageBreak/>
              <w:t>10</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lastRenderedPageBreak/>
              <w:t>79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USG Tech Solutions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Servesh Gupta</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13(4A) read with 13(5) 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D92E72" w:rsidP="009E6012">
            <w:pPr>
              <w:jc w:val="right"/>
              <w:rPr>
                <w:rFonts w:ascii="Garamond" w:hAnsi="Garamond" w:cs="Calibri"/>
                <w:color w:val="000000"/>
                <w:lang w:bidi="hi-IN"/>
              </w:rPr>
            </w:pPr>
            <w:r w:rsidRPr="00966FBB">
              <w:rPr>
                <w:rFonts w:ascii="Garamond" w:hAnsi="Garamond" w:cs="Calibri"/>
                <w:color w:val="000000"/>
                <w:lang w:bidi="hi-IN"/>
              </w:rPr>
              <w:t>1</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Sampada Chemicals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Prarthana Tarunkumar Brahmbhatt</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7(1) read with  Regulation  7(2), SEBI  (SAST)  Regulations, 1997and  Regulation  13(1) read   with   Regulation   13(5)   of   SEBI   (PIT)   Regulations, 1992 ; Section 15A(b) of SEBI Act</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D92E72" w:rsidP="009E6012">
            <w:pPr>
              <w:jc w:val="right"/>
              <w:rPr>
                <w:rFonts w:ascii="Garamond" w:hAnsi="Garamond" w:cs="Calibri"/>
                <w:color w:val="000000"/>
                <w:lang w:bidi="hi-IN"/>
              </w:rPr>
            </w:pPr>
            <w:r w:rsidRPr="00966FBB">
              <w:rPr>
                <w:rFonts w:ascii="Garamond" w:hAnsi="Garamond" w:cs="Calibri"/>
                <w:color w:val="000000"/>
                <w:lang w:bidi="hi-IN"/>
              </w:rPr>
              <w:t>7</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Sampada ChemicalsLtd. ,and Urja Global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Jinesh Devendra Bhatt, Tarunkumar Gurucharan Brahmbhatt</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7(1) read with Regulation 7(2), SEBI (SAST) Regulations, 1997and Regulation 13(1) read  with  Regulation  13(5)  of  SEBI  (PIT)  Regulations, 1992 ; Section 15A(b) of SEBI Act</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D92E72" w:rsidP="009E6012">
            <w:pPr>
              <w:jc w:val="right"/>
              <w:rPr>
                <w:rFonts w:ascii="Garamond" w:hAnsi="Garamond" w:cs="Calibri"/>
                <w:color w:val="000000"/>
                <w:lang w:bidi="hi-IN"/>
              </w:rPr>
            </w:pPr>
            <w:r w:rsidRPr="009B4A70">
              <w:rPr>
                <w:rFonts w:ascii="Garamond" w:eastAsia="Times New Roman" w:hAnsi="Garamond" w:cs="Calibri"/>
                <w:color w:val="000000"/>
              </w:rPr>
              <w:t>21</w:t>
            </w:r>
            <w:r w:rsidR="009E6012" w:rsidRPr="009B4A70">
              <w:rPr>
                <w:rFonts w:ascii="Garamond" w:eastAsia="Times New Roman" w:hAnsi="Garamond" w:cs="Calibri"/>
                <w:color w:val="000000"/>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Surendra Kumar Gupta Divyanshu Gupta HUF</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3(b), 3(c), 3(d), 4(1) and 4 (2)(a) of the Securities and Exchange Board of India (Prohibition of Fraudulent and Unfair Trade Practices Relating to Securities Market)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D92E72" w:rsidP="00D92E72">
            <w:pPr>
              <w:jc w:val="right"/>
              <w:rPr>
                <w:rFonts w:ascii="Garamond" w:hAnsi="Garamond" w:cs="Calibri"/>
                <w:color w:val="000000"/>
                <w:lang w:bidi="hi-IN"/>
              </w:rPr>
            </w:pPr>
            <w:r w:rsidRPr="00966FBB">
              <w:rPr>
                <w:rFonts w:ascii="Garamond" w:hAnsi="Garamond" w:cs="Calibri"/>
                <w:color w:val="000000"/>
                <w:lang w:bidi="hi-IN"/>
              </w:rPr>
              <w:t>5</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0C03D6" w:rsidP="009E6012">
            <w:pPr>
              <w:jc w:val="both"/>
              <w:rPr>
                <w:rFonts w:ascii="Garamond" w:hAnsi="Garamond" w:cs="Calibri"/>
                <w:color w:val="000000"/>
                <w:lang w:bidi="hi-IN"/>
              </w:rPr>
            </w:pPr>
            <w:r w:rsidRPr="00966FBB">
              <w:rPr>
                <w:rFonts w:ascii="Garamond" w:hAnsi="Garamond" w:cs="Calibri"/>
                <w:color w:val="000000"/>
                <w:lang w:bidi="hi-IN"/>
              </w:rPr>
              <w:t>28/12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Nikita Agarwal</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Nileshkumar Muljibhai Kothari</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D92E7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D92E72"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Nikita Tolani</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 xml:space="preserve">Dealings in Illiquid Stock </w:t>
            </w:r>
            <w:r w:rsidRPr="009B4A70">
              <w:rPr>
                <w:rFonts w:ascii="Garamond" w:eastAsia="Times New Roman" w:hAnsi="Garamond" w:cs="Calibri"/>
                <w:color w:val="000000"/>
              </w:rPr>
              <w:lastRenderedPageBreak/>
              <w:t>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lastRenderedPageBreak/>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Shivsakti Vyapaar Private Ltd.</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 xml:space="preserve">Regulations 3(a), (b), (c), (d), 4(1) and 4(2) </w:t>
            </w:r>
            <w:r w:rsidRPr="009B4A70">
              <w:rPr>
                <w:rFonts w:ascii="Garamond" w:eastAsia="Times New Roman" w:hAnsi="Garamond" w:cs="Calibri"/>
                <w:color w:val="000000"/>
              </w:rPr>
              <w:lastRenderedPageBreak/>
              <w:t>(a)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lastRenderedPageBreak/>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lastRenderedPageBreak/>
              <w:t>87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Rajendra Kumar Sethia</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Rajendra Kumar Sethia HUF</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89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Begani Moti Lal</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66FBB">
              <w:rPr>
                <w:rFonts w:ascii="Garamond" w:hAnsi="Garamond" w:cs="Calibri"/>
                <w:color w:val="000000"/>
                <w:lang w:bidi="hi-IN"/>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Ms. Ankita Singh  (Now known as Ms. Ankita Chowdhary)</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right"/>
              <w:rPr>
                <w:rFonts w:ascii="Garamond" w:hAnsi="Garamond" w:cs="Calibri"/>
                <w:color w:val="000000"/>
                <w:lang w:bidi="hi-IN"/>
              </w:rPr>
            </w:pPr>
            <w:r w:rsidRPr="009B4A70">
              <w:rPr>
                <w:rFonts w:ascii="Garamond" w:eastAsia="Times New Roman" w:hAnsi="Garamond" w:cs="Calibri"/>
                <w:color w:val="000000"/>
              </w:rPr>
              <w:t>5,00,000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D92E72" w:rsidP="009E6012">
            <w:pPr>
              <w:jc w:val="both"/>
              <w:rPr>
                <w:rFonts w:ascii="Garamond" w:hAnsi="Garamond" w:cs="Calibri"/>
                <w:color w:val="000000"/>
                <w:lang w:bidi="hi-IN"/>
              </w:rPr>
            </w:pPr>
            <w:r w:rsidRPr="00966FBB">
              <w:rPr>
                <w:rFonts w:ascii="Garamond" w:hAnsi="Garamond" w:cs="Calibri"/>
                <w:color w:val="000000"/>
                <w:lang w:bidi="hi-IN"/>
              </w:rPr>
              <w:t>29/12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Ms. Anjana S Goel</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3(a),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263979" w:rsidP="009E6012">
            <w:pPr>
              <w:jc w:val="right"/>
              <w:rPr>
                <w:rFonts w:ascii="Garamond" w:hAnsi="Garamond" w:cs="Calibri"/>
                <w:color w:val="000000"/>
                <w:lang w:bidi="hi-IN"/>
              </w:rPr>
            </w:pPr>
            <w:r w:rsidRPr="00966FBB">
              <w:rPr>
                <w:rFonts w:ascii="Garamond" w:hAnsi="Garamond" w:cs="Calibri"/>
                <w:color w:val="000000"/>
                <w:lang w:bidi="hi-IN"/>
              </w:rPr>
              <w:t>5</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30/12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Shri Ankit Kumar Jain</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263979" w:rsidP="009E6012">
            <w:pPr>
              <w:jc w:val="right"/>
              <w:rPr>
                <w:rFonts w:ascii="Garamond" w:hAnsi="Garamond" w:cs="Calibri"/>
                <w:color w:val="000000"/>
                <w:lang w:bidi="hi-IN"/>
              </w:rPr>
            </w:pPr>
            <w:r w:rsidRPr="00966FBB">
              <w:rPr>
                <w:rFonts w:ascii="Garamond" w:hAnsi="Garamond" w:cs="Calibri"/>
                <w:color w:val="000000"/>
                <w:lang w:bidi="hi-IN"/>
              </w:rPr>
              <w:t>5</w:t>
            </w:r>
            <w:r w:rsidR="009E6012" w:rsidRPr="00966FBB">
              <w:rPr>
                <w:rFonts w:ascii="Garamond" w:hAnsi="Garamond" w:cs="Calibri"/>
                <w:color w:val="000000"/>
                <w:lang w:bidi="hi-IN"/>
              </w:rPr>
              <w:t>,00,000</w:t>
            </w:r>
          </w:p>
        </w:tc>
      </w:tr>
      <w:tr w:rsidR="009E6012"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E6012"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E6012"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30/12</w:t>
            </w:r>
            <w:r w:rsidR="009E6012" w:rsidRPr="00966FBB">
              <w:rPr>
                <w:rFonts w:ascii="Garamond" w:hAnsi="Garamond" w:cs="Calibri"/>
                <w:color w:val="000000"/>
                <w:lang w:bidi="hi-IN"/>
              </w:rPr>
              <w:t>/2021</w:t>
            </w:r>
          </w:p>
        </w:tc>
        <w:tc>
          <w:tcPr>
            <w:tcW w:w="1701"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E6012" w:rsidRPr="00966FBB" w:rsidRDefault="009E601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E6012"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Abhijeet Suresh Bora HUF</w:t>
            </w:r>
          </w:p>
        </w:tc>
        <w:tc>
          <w:tcPr>
            <w:tcW w:w="2268" w:type="dxa"/>
            <w:tcBorders>
              <w:top w:val="single" w:sz="4" w:space="0" w:color="auto"/>
              <w:left w:val="nil"/>
              <w:bottom w:val="single" w:sz="4" w:space="0" w:color="auto"/>
              <w:right w:val="single" w:sz="4" w:space="0" w:color="auto"/>
            </w:tcBorders>
            <w:shd w:val="clear" w:color="auto" w:fill="auto"/>
          </w:tcPr>
          <w:p w:rsidR="009E6012"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E6012" w:rsidRPr="00966FBB" w:rsidRDefault="00263979" w:rsidP="009E6012">
            <w:pPr>
              <w:jc w:val="right"/>
              <w:rPr>
                <w:rFonts w:ascii="Garamond" w:hAnsi="Garamond" w:cs="Calibri"/>
                <w:color w:val="000000"/>
                <w:lang w:bidi="hi-IN"/>
              </w:rPr>
            </w:pPr>
            <w:r w:rsidRPr="00966FBB">
              <w:rPr>
                <w:rFonts w:ascii="Garamond" w:hAnsi="Garamond" w:cs="Calibri"/>
                <w:color w:val="000000"/>
                <w:lang w:bidi="hi-IN"/>
              </w:rPr>
              <w:t>5</w:t>
            </w:r>
            <w:r w:rsidR="009E6012" w:rsidRPr="00966FBB">
              <w:rPr>
                <w:rFonts w:ascii="Garamond" w:hAnsi="Garamond" w:cs="Calibri"/>
                <w:color w:val="000000"/>
                <w:lang w:bidi="hi-IN"/>
              </w:rPr>
              <w:t>,00,000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30/12/2021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onBSE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Keshav Khandelwal</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66FBB" w:rsidRDefault="00263979" w:rsidP="009E6012">
            <w:pPr>
              <w:jc w:val="right"/>
              <w:rPr>
                <w:rFonts w:ascii="Garamond" w:hAnsi="Garamond" w:cs="Calibri"/>
                <w:color w:val="000000"/>
                <w:lang w:bidi="hi-IN"/>
              </w:rPr>
            </w:pPr>
            <w:r w:rsidRPr="00966FBB">
              <w:rPr>
                <w:rFonts w:ascii="Garamond" w:hAnsi="Garamond" w:cs="Calibri"/>
                <w:color w:val="000000"/>
                <w:lang w:bidi="hi-IN"/>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30/12/2021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USG Tech Solutions Ltd</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263979"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263979" w:rsidP="009E6012">
            <w:pPr>
              <w:jc w:val="both"/>
              <w:rPr>
                <w:rFonts w:ascii="Garamond" w:eastAsia="Times New Roman" w:hAnsi="Garamond" w:cs="Calibri"/>
                <w:color w:val="000000"/>
              </w:rPr>
            </w:pPr>
            <w:r w:rsidRPr="009B4A70">
              <w:rPr>
                <w:rFonts w:ascii="Garamond" w:eastAsia="Times New Roman" w:hAnsi="Garamond" w:cs="Calibri"/>
                <w:color w:val="000000"/>
              </w:rPr>
              <w:t>Lakhanpur Coal Carriers Private Ltd.</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263979"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13(4A) read with 13(5) 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66FBB" w:rsidRDefault="00263979" w:rsidP="009E6012">
            <w:pPr>
              <w:jc w:val="right"/>
              <w:rPr>
                <w:rFonts w:ascii="Garamond" w:hAnsi="Garamond" w:cs="Calibri"/>
                <w:color w:val="000000"/>
                <w:lang w:bidi="hi-IN"/>
              </w:rPr>
            </w:pPr>
            <w:r w:rsidRPr="009B4A70">
              <w:rPr>
                <w:rFonts w:ascii="Garamond" w:eastAsia="Times New Roman" w:hAnsi="Garamond" w:cs="Calibri"/>
                <w:color w:val="000000"/>
              </w:rPr>
              <w:t>1,00,000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USG Tech Solutions Ltd</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Gajraj Carriers Private Ltd.</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13(2A)  and Regulation 13(4A) read  with  Regulation  13(5)  of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1,00,000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Accurate Securities and Registry Pvt Ltd.</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TTL Enterprises Ltd (Formerly Trupti Twisters Ltd)</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7(4) of LODR Regulations</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2,00,000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Shri Ankit Lalitkumar Sodhani</w:t>
            </w:r>
          </w:p>
        </w:tc>
        <w:tc>
          <w:tcPr>
            <w:tcW w:w="2268" w:type="dxa"/>
            <w:tcBorders>
              <w:top w:val="single" w:sz="4" w:space="0" w:color="auto"/>
              <w:left w:val="nil"/>
              <w:bottom w:val="single" w:sz="4" w:space="0" w:color="auto"/>
              <w:right w:val="single" w:sz="4" w:space="0" w:color="auto"/>
            </w:tcBorders>
            <w:shd w:val="clear" w:color="auto" w:fill="auto"/>
          </w:tcPr>
          <w:p w:rsidR="00C52552"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 3(a), (b), (c), (d), 4(1) and 4(2)(a) of the PFUTP Regulations, 2003.</w:t>
            </w:r>
          </w:p>
          <w:p w:rsidR="00263979" w:rsidRPr="009B4A70" w:rsidRDefault="00263979" w:rsidP="00C52552">
            <w:pPr>
              <w:ind w:firstLine="720"/>
              <w:rPr>
                <w:rFonts w:ascii="Garamond" w:eastAsia="Times New Roman" w:hAnsi="Garamond" w:cs="Calibri"/>
              </w:rPr>
            </w:pP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 xml:space="preserve">Dealings in Illiquid Stock Options at the </w:t>
            </w:r>
            <w:r w:rsidRPr="009B4A70">
              <w:rPr>
                <w:rFonts w:ascii="Garamond" w:eastAsia="Times New Roman" w:hAnsi="Garamond" w:cs="Calibri"/>
                <w:color w:val="000000"/>
              </w:rPr>
              <w:lastRenderedPageBreak/>
              <w:t>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lastRenderedPageBreak/>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Abhishek Agarwal</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3(a),(b),(c),(d),4(1)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lastRenderedPageBreak/>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C52552">
            <w:pPr>
              <w:rPr>
                <w:rFonts w:ascii="Garamond" w:eastAsia="Times New Roman" w:hAnsi="Garamond" w:cs="Calibri"/>
                <w:color w:val="000000"/>
              </w:rPr>
            </w:pPr>
            <w:r w:rsidRPr="009B4A70">
              <w:rPr>
                <w:rFonts w:ascii="Garamond" w:eastAsia="Times New Roman" w:hAnsi="Garamond" w:cs="Calibri"/>
                <w:color w:val="000000"/>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Abhirup Dutta</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3(a),(b),(c),(d),4(1)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Abhinav Singh</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3(a),(b),(c),(d),4(1)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102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Beena Khandelwal</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5,00,000</w:t>
            </w:r>
          </w:p>
        </w:tc>
      </w:tr>
      <w:tr w:rsidR="00263979" w:rsidRPr="00966FB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263979" w:rsidRPr="00966FBB" w:rsidRDefault="00607698" w:rsidP="009E6012">
            <w:pPr>
              <w:jc w:val="both"/>
              <w:rPr>
                <w:rFonts w:ascii="Garamond" w:hAnsi="Garamond"/>
                <w:color w:val="000000"/>
                <w:lang w:val="en-IN" w:eastAsia="en-IN" w:bidi="hi-IN"/>
              </w:rPr>
            </w:pPr>
            <w:r w:rsidRPr="00966FBB">
              <w:rPr>
                <w:rFonts w:ascii="Garamond" w:hAnsi="Garamond"/>
                <w:color w:val="000000"/>
                <w:lang w:val="en-IN" w:eastAsia="en-IN" w:bidi="hi-IN"/>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31/12/2021</w:t>
            </w:r>
          </w:p>
        </w:tc>
        <w:tc>
          <w:tcPr>
            <w:tcW w:w="1701"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ISG Traders Ltd.</w:t>
            </w:r>
          </w:p>
        </w:tc>
        <w:tc>
          <w:tcPr>
            <w:tcW w:w="1275" w:type="dxa"/>
            <w:tcBorders>
              <w:top w:val="single" w:sz="4" w:space="0" w:color="auto"/>
              <w:left w:val="nil"/>
              <w:bottom w:val="single" w:sz="4" w:space="0" w:color="auto"/>
              <w:right w:val="single" w:sz="4" w:space="0" w:color="auto"/>
            </w:tcBorders>
            <w:shd w:val="clear" w:color="auto" w:fill="auto"/>
            <w:noWrap/>
          </w:tcPr>
          <w:p w:rsidR="00263979" w:rsidRPr="00966FBB" w:rsidRDefault="00C52552" w:rsidP="009E6012">
            <w:pPr>
              <w:jc w:val="both"/>
              <w:rPr>
                <w:rFonts w:ascii="Garamond" w:hAnsi="Garamond" w:cs="Calibri"/>
                <w:color w:val="000000"/>
                <w:lang w:bidi="hi-IN"/>
              </w:rPr>
            </w:pPr>
            <w:r w:rsidRPr="00966FBB">
              <w:rPr>
                <w:rFonts w:ascii="Garamond" w:hAnsi="Garamond" w:cs="Calibri"/>
                <w:color w:val="00000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both"/>
              <w:rPr>
                <w:rFonts w:ascii="Garamond" w:eastAsia="Times New Roman" w:hAnsi="Garamond" w:cs="Calibri"/>
                <w:color w:val="000000"/>
              </w:rPr>
            </w:pPr>
            <w:r w:rsidRPr="009B4A70">
              <w:rPr>
                <w:rFonts w:ascii="Garamond" w:eastAsia="Times New Roman" w:hAnsi="Garamond" w:cs="Calibri"/>
                <w:color w:val="000000"/>
              </w:rPr>
              <w:t>ISG Traders Ltd.</w:t>
            </w:r>
          </w:p>
        </w:tc>
        <w:tc>
          <w:tcPr>
            <w:tcW w:w="2268" w:type="dxa"/>
            <w:tcBorders>
              <w:top w:val="single" w:sz="4" w:space="0" w:color="auto"/>
              <w:left w:val="nil"/>
              <w:bottom w:val="single" w:sz="4" w:space="0" w:color="auto"/>
              <w:right w:val="single" w:sz="4" w:space="0" w:color="auto"/>
            </w:tcBorders>
            <w:shd w:val="clear" w:color="auto" w:fill="auto"/>
          </w:tcPr>
          <w:p w:rsidR="00263979" w:rsidRPr="009B4A70" w:rsidRDefault="00C52552" w:rsidP="009E6012">
            <w:pPr>
              <w:shd w:val="clear" w:color="auto" w:fill="FFFFFF"/>
              <w:jc w:val="both"/>
              <w:rPr>
                <w:rFonts w:ascii="Garamond" w:eastAsia="Times New Roman" w:hAnsi="Garamond" w:cs="Calibri"/>
                <w:color w:val="000000"/>
              </w:rPr>
            </w:pPr>
            <w:r w:rsidRPr="009B4A70">
              <w:rPr>
                <w:rFonts w:ascii="Garamond" w:eastAsia="Times New Roman" w:hAnsi="Garamond" w:cs="Calibri"/>
                <w:color w:val="000000"/>
              </w:rPr>
              <w:t>Regulations 7(3), 23(9), 30(4)(ii), 30(5), 30(8),  34(1),  36(4),  40(9),  46(1),  46(2),  46(3)(b),  47(1)  r/w  46(2)(q)  of  LODR Regulations.</w:t>
            </w:r>
          </w:p>
        </w:tc>
        <w:tc>
          <w:tcPr>
            <w:tcW w:w="1417" w:type="dxa"/>
            <w:tcBorders>
              <w:top w:val="single" w:sz="4" w:space="0" w:color="auto"/>
              <w:left w:val="nil"/>
              <w:bottom w:val="single" w:sz="4" w:space="0" w:color="auto"/>
              <w:right w:val="single" w:sz="4" w:space="0" w:color="auto"/>
            </w:tcBorders>
            <w:shd w:val="clear" w:color="auto" w:fill="auto"/>
            <w:noWrap/>
          </w:tcPr>
          <w:p w:rsidR="00263979" w:rsidRPr="009B4A70" w:rsidRDefault="00C52552" w:rsidP="009E6012">
            <w:pPr>
              <w:jc w:val="right"/>
              <w:rPr>
                <w:rFonts w:ascii="Garamond" w:eastAsia="Times New Roman" w:hAnsi="Garamond" w:cs="Calibri"/>
                <w:color w:val="000000"/>
              </w:rPr>
            </w:pPr>
            <w:r w:rsidRPr="009B4A70">
              <w:rPr>
                <w:rFonts w:ascii="Garamond" w:eastAsia="Times New Roman" w:hAnsi="Garamond" w:cs="Calibri"/>
                <w:color w:val="000000"/>
              </w:rPr>
              <w:t>3,00,000</w:t>
            </w:r>
          </w:p>
        </w:tc>
      </w:tr>
    </w:tbl>
    <w:p w:rsidR="00956136" w:rsidRDefault="00956136" w:rsidP="00432430">
      <w:pPr>
        <w:jc w:val="both"/>
        <w:rPr>
          <w:rFonts w:ascii="Garamond" w:hAnsi="Garamond"/>
          <w:b/>
          <w:sz w:val="22"/>
          <w:szCs w:val="22"/>
        </w:rPr>
      </w:pPr>
    </w:p>
    <w:p w:rsidR="00956136" w:rsidRPr="001D1888" w:rsidRDefault="00956136" w:rsidP="00272724">
      <w:pPr>
        <w:rPr>
          <w:rFonts w:ascii="Garamond" w:hAnsi="Garamond"/>
          <w:b/>
          <w:sz w:val="22"/>
          <w:szCs w:val="22"/>
        </w:rPr>
      </w:pPr>
    </w:p>
    <w:p w:rsidR="00E77B3E" w:rsidRDefault="00272724" w:rsidP="00E77B3E">
      <w:pPr>
        <w:spacing w:after="120"/>
        <w:ind w:left="-709"/>
        <w:rPr>
          <w:rFonts w:ascii="Garamond" w:hAnsi="Garamond" w:cs="Arial"/>
          <w:i/>
          <w:sz w:val="22"/>
          <w:szCs w:val="22"/>
        </w:rPr>
      </w:pPr>
      <w:r w:rsidRPr="001D1888">
        <w:rPr>
          <w:rFonts w:ascii="Garamond" w:hAnsi="Garamond" w:cs="Arial"/>
          <w:i/>
          <w:sz w:val="22"/>
          <w:szCs w:val="22"/>
        </w:rPr>
        <w:t xml:space="preserve">Disclaimer: </w:t>
      </w:r>
      <w:r w:rsidR="00D22F0B" w:rsidRPr="001D1888">
        <w:rPr>
          <w:rFonts w:ascii="Garamond" w:hAnsi="Garamond" w:cs="Arial"/>
          <w:i/>
          <w:sz w:val="22"/>
          <w:szCs w:val="22"/>
        </w:rPr>
        <w:t xml:space="preserve">Regulatory actions consist of orders passed by Whole Time Member/Adjudication Officer.  Please refer SEBI website for exhaustive list.  </w:t>
      </w:r>
      <w:r w:rsidRPr="001D1888">
        <w:rPr>
          <w:rFonts w:ascii="Garamond" w:hAnsi="Garamond" w:cs="Arial"/>
          <w:i/>
          <w:sz w:val="22"/>
          <w:szCs w:val="22"/>
        </w:rPr>
        <w:t>The summary has been prepared for the convenience of readers. In case of any ambiguity, please refer to the original order.</w:t>
      </w:r>
    </w:p>
    <w:p w:rsidR="00956136" w:rsidRPr="00966FBB" w:rsidRDefault="00956136" w:rsidP="00E77B3E">
      <w:pPr>
        <w:spacing w:after="120"/>
        <w:ind w:left="-709"/>
        <w:jc w:val="center"/>
        <w:rPr>
          <w:rFonts w:ascii="Garamond" w:hAnsi="Garamond"/>
          <w:b/>
          <w:bCs/>
          <w:color w:val="1F4E79"/>
          <w:sz w:val="28"/>
          <w:szCs w:val="28"/>
        </w:rPr>
      </w:pPr>
    </w:p>
    <w:p w:rsidR="00956136" w:rsidRPr="00966FBB" w:rsidRDefault="00956136" w:rsidP="00E77B3E">
      <w:pPr>
        <w:spacing w:after="120"/>
        <w:ind w:left="-709"/>
        <w:jc w:val="center"/>
        <w:rPr>
          <w:rFonts w:ascii="Garamond" w:hAnsi="Garamond"/>
          <w:b/>
          <w:bCs/>
          <w:color w:val="1F4E79"/>
          <w:sz w:val="28"/>
          <w:szCs w:val="28"/>
        </w:rPr>
      </w:pPr>
    </w:p>
    <w:p w:rsidR="00956136" w:rsidRPr="00966FBB" w:rsidRDefault="00956136" w:rsidP="00E77B3E">
      <w:pPr>
        <w:spacing w:after="120"/>
        <w:ind w:left="-709"/>
        <w:jc w:val="center"/>
        <w:rPr>
          <w:rFonts w:ascii="Garamond" w:hAnsi="Garamond"/>
          <w:b/>
          <w:bCs/>
          <w:color w:val="1F4E79"/>
          <w:sz w:val="28"/>
          <w:szCs w:val="28"/>
        </w:rPr>
      </w:pPr>
    </w:p>
    <w:p w:rsidR="00956136" w:rsidRPr="00966FBB" w:rsidRDefault="00956136" w:rsidP="00E77B3E">
      <w:pPr>
        <w:spacing w:after="120"/>
        <w:ind w:left="-709"/>
        <w:jc w:val="center"/>
        <w:rPr>
          <w:rFonts w:ascii="Garamond" w:hAnsi="Garamond"/>
          <w:b/>
          <w:bCs/>
          <w:color w:val="1F4E79"/>
          <w:sz w:val="28"/>
          <w:szCs w:val="28"/>
        </w:rPr>
      </w:pPr>
    </w:p>
    <w:p w:rsidR="00834A7A" w:rsidRPr="00966FBB" w:rsidRDefault="00834A7A" w:rsidP="00E77B3E">
      <w:pPr>
        <w:spacing w:after="120"/>
        <w:ind w:left="-709"/>
        <w:jc w:val="center"/>
        <w:rPr>
          <w:rFonts w:ascii="Garamond" w:hAnsi="Garamond"/>
          <w:b/>
          <w:bCs/>
          <w:color w:val="1F4E79"/>
          <w:sz w:val="28"/>
          <w:szCs w:val="28"/>
        </w:rPr>
      </w:pPr>
    </w:p>
    <w:p w:rsidR="00834A7A" w:rsidRPr="00966FBB" w:rsidRDefault="00834A7A" w:rsidP="00E77B3E">
      <w:pPr>
        <w:spacing w:after="120"/>
        <w:ind w:left="-709"/>
        <w:jc w:val="center"/>
        <w:rPr>
          <w:rFonts w:ascii="Garamond" w:hAnsi="Garamond"/>
          <w:b/>
          <w:bCs/>
          <w:color w:val="1F4E79"/>
          <w:sz w:val="28"/>
          <w:szCs w:val="28"/>
        </w:rPr>
      </w:pPr>
    </w:p>
    <w:p w:rsidR="009B4A70" w:rsidRPr="00966FBB" w:rsidRDefault="009B4A70" w:rsidP="009B4A70">
      <w:pPr>
        <w:spacing w:after="120"/>
        <w:rPr>
          <w:rFonts w:ascii="Garamond" w:hAnsi="Garamond"/>
          <w:b/>
          <w:bCs/>
          <w:color w:val="1F4E79"/>
          <w:sz w:val="28"/>
          <w:szCs w:val="28"/>
        </w:rPr>
      </w:pPr>
    </w:p>
    <w:p w:rsidR="00E77B3E" w:rsidRPr="00966FBB" w:rsidRDefault="00E77B3E" w:rsidP="009B4A70">
      <w:pPr>
        <w:spacing w:after="120"/>
        <w:jc w:val="center"/>
        <w:rPr>
          <w:rFonts w:ascii="Garamond" w:hAnsi="Garamond"/>
          <w:b/>
          <w:bCs/>
          <w:color w:val="1F4E79"/>
          <w:sz w:val="28"/>
          <w:szCs w:val="28"/>
        </w:rPr>
      </w:pPr>
      <w:r w:rsidRPr="00966FBB">
        <w:rPr>
          <w:rFonts w:ascii="Garamond" w:hAnsi="Garamond"/>
          <w:b/>
          <w:bCs/>
          <w:color w:val="1F4E79"/>
          <w:sz w:val="28"/>
          <w:szCs w:val="28"/>
        </w:rPr>
        <w:t>LATEST PUBLICATIONS</w:t>
      </w:r>
    </w:p>
    <w:p w:rsidR="00E77B3E" w:rsidRDefault="00E77B3E" w:rsidP="00E77B3E">
      <w:pPr>
        <w:spacing w:after="120"/>
        <w:ind w:left="-709"/>
        <w:jc w:val="center"/>
        <w:rPr>
          <w:rFonts w:ascii="Garamond" w:hAnsi="Garamond"/>
          <w:b/>
          <w:bCs/>
        </w:rPr>
      </w:pPr>
    </w:p>
    <w:p w:rsidR="00E77B3E" w:rsidRPr="00E77B3E" w:rsidRDefault="00E77B3E" w:rsidP="00E77B3E">
      <w:pPr>
        <w:spacing w:after="120"/>
        <w:ind w:left="-709"/>
        <w:jc w:val="center"/>
        <w:rPr>
          <w:rFonts w:ascii="Garamond" w:hAnsi="Garamond"/>
          <w:b/>
          <w:bCs/>
        </w:rPr>
      </w:pPr>
    </w:p>
    <w:p w:rsidR="00E77B3E" w:rsidRPr="00E77B3E" w:rsidRDefault="00E77B3E" w:rsidP="00E77B3E">
      <w:pPr>
        <w:spacing w:after="120"/>
        <w:ind w:left="-709"/>
        <w:rPr>
          <w:rFonts w:ascii="Garamond" w:hAnsi="Garamond"/>
        </w:rPr>
      </w:pPr>
      <w:r w:rsidRPr="00E77B3E">
        <w:rPr>
          <w:rFonts w:ascii="Garamond" w:hAnsi="Garamond"/>
        </w:rPr>
        <w:t xml:space="preserve"> </w:t>
      </w:r>
      <w:r w:rsidR="00B522A6">
        <w:rPr>
          <w:rFonts w:ascii="Garamond" w:hAnsi="Garamond"/>
        </w:rPr>
        <w:t xml:space="preserve">1. SEBI Annual Report: </w:t>
      </w:r>
      <w:r w:rsidRPr="00E77B3E">
        <w:rPr>
          <w:rFonts w:ascii="Garamond" w:hAnsi="Garamond"/>
        </w:rPr>
        <w:t>2020-21</w:t>
      </w:r>
    </w:p>
    <w:p w:rsidR="00E77B3E" w:rsidRPr="00E77B3E" w:rsidRDefault="00E77B3E" w:rsidP="00E77B3E">
      <w:pPr>
        <w:spacing w:after="120"/>
        <w:ind w:left="-709"/>
        <w:rPr>
          <w:rFonts w:ascii="Garamond" w:hAnsi="Garamond"/>
        </w:rPr>
      </w:pPr>
      <w:r w:rsidRPr="00E77B3E">
        <w:rPr>
          <w:rFonts w:ascii="Garamond" w:hAnsi="Garamond"/>
        </w:rPr>
        <w:t xml:space="preserve"> 2. Handbook of Statistics</w:t>
      </w:r>
      <w:r>
        <w:rPr>
          <w:rFonts w:ascii="Garamond" w:hAnsi="Garamond"/>
        </w:rPr>
        <w:t xml:space="preserve"> on Indian Securities Market:</w:t>
      </w:r>
      <w:r w:rsidRPr="00E77B3E">
        <w:rPr>
          <w:rFonts w:ascii="Garamond" w:hAnsi="Garamond"/>
        </w:rPr>
        <w:t xml:space="preserve"> 2020</w:t>
      </w:r>
    </w:p>
    <w:p w:rsidR="00E77B3E" w:rsidRPr="00E77B3E" w:rsidRDefault="00E77B3E" w:rsidP="00E77B3E">
      <w:pPr>
        <w:spacing w:after="120"/>
        <w:ind w:left="-709"/>
        <w:rPr>
          <w:rFonts w:ascii="Garamond" w:hAnsi="Garamond"/>
        </w:rPr>
      </w:pPr>
    </w:p>
    <w:p w:rsidR="00B522A6" w:rsidRDefault="00E77B3E" w:rsidP="00E77B3E">
      <w:pPr>
        <w:spacing w:after="120"/>
        <w:ind w:left="-709"/>
        <w:rPr>
          <w:rFonts w:ascii="Garamond" w:hAnsi="Garamond"/>
        </w:rPr>
      </w:pPr>
      <w:r w:rsidRPr="00E77B3E">
        <w:rPr>
          <w:rFonts w:ascii="Garamond" w:hAnsi="Garamond"/>
        </w:rPr>
        <w:t xml:space="preserve"> Please visit </w:t>
      </w:r>
      <w:r w:rsidR="00B522A6">
        <w:rPr>
          <w:rFonts w:ascii="Garamond" w:hAnsi="Garamond"/>
        </w:rPr>
        <w:t xml:space="preserve">SEBI website at the </w:t>
      </w:r>
      <w:r w:rsidRPr="00E77B3E">
        <w:rPr>
          <w:rFonts w:ascii="Garamond" w:hAnsi="Garamond"/>
        </w:rPr>
        <w:t xml:space="preserve">following URL to </w:t>
      </w:r>
      <w:r w:rsidR="00B522A6">
        <w:rPr>
          <w:rFonts w:ascii="Garamond" w:hAnsi="Garamond"/>
        </w:rPr>
        <w:t>refer/download</w:t>
      </w:r>
      <w:r w:rsidRPr="00E77B3E">
        <w:rPr>
          <w:rFonts w:ascii="Garamond" w:hAnsi="Garamond"/>
        </w:rPr>
        <w:t xml:space="preserve"> </w:t>
      </w:r>
      <w:r w:rsidR="00B522A6">
        <w:rPr>
          <w:rFonts w:ascii="Garamond" w:hAnsi="Garamond"/>
        </w:rPr>
        <w:t>the publications.</w:t>
      </w:r>
    </w:p>
    <w:p w:rsidR="00E77B3E" w:rsidRDefault="00B522A6" w:rsidP="00E77B3E">
      <w:pPr>
        <w:spacing w:after="120"/>
        <w:ind w:left="-709"/>
        <w:rPr>
          <w:rFonts w:ascii="Palatino Linotype" w:hAnsi="Palatino Linotype"/>
          <w:bCs/>
          <w:sz w:val="22"/>
          <w:szCs w:val="22"/>
        </w:rPr>
      </w:pPr>
      <w:r>
        <w:rPr>
          <w:rFonts w:ascii="Garamond" w:hAnsi="Garamond"/>
        </w:rPr>
        <w:t xml:space="preserve"> </w:t>
      </w:r>
      <w:hyperlink r:id="rId41" w:history="1">
        <w:r w:rsidRPr="00385DA6">
          <w:rPr>
            <w:rStyle w:val="Hyperlink"/>
            <w:rFonts w:ascii="Palatino Linotype" w:hAnsi="Palatino Linotype"/>
            <w:bCs/>
            <w:sz w:val="22"/>
            <w:szCs w:val="22"/>
          </w:rPr>
          <w:t>https://www.sebi.gov.in/reports-and-statistics.html</w:t>
        </w:r>
      </w:hyperlink>
    </w:p>
    <w:p w:rsidR="00B522A6" w:rsidRPr="00E77B3E" w:rsidRDefault="00B522A6" w:rsidP="00E77B3E">
      <w:pPr>
        <w:spacing w:after="120"/>
        <w:ind w:left="-709"/>
        <w:rPr>
          <w:rFonts w:ascii="Garamond" w:hAnsi="Garamond"/>
        </w:rPr>
      </w:pPr>
    </w:p>
    <w:sectPr w:rsidR="00B522A6" w:rsidRPr="00E77B3E" w:rsidSect="00147C3C">
      <w:headerReference w:type="even" r:id="rId42"/>
      <w:headerReference w:type="default" r:id="rId43"/>
      <w:footerReference w:type="even" r:id="rId44"/>
      <w:footerReference w:type="default" r:id="rId45"/>
      <w:pgSz w:w="11906" w:h="16838" w:code="9"/>
      <w:pgMar w:top="0" w:right="1009" w:bottom="142" w:left="1009" w:header="113"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433" w:rsidRDefault="00BC3433" w:rsidP="00E07645">
      <w:r>
        <w:separator/>
      </w:r>
    </w:p>
  </w:endnote>
  <w:endnote w:type="continuationSeparator" w:id="0">
    <w:p w:rsidR="00BC3433" w:rsidRDefault="00BC3433"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pitch w:val="variable"/>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eamViewer9">
    <w:panose1 w:val="050B0102010101010101"/>
    <w:charset w:val="01"/>
    <w:family w:val="decorative"/>
    <w:notTrueType/>
    <w:pitch w:val="variable"/>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33" w:rsidRDefault="00BC3433">
    <w:pPr>
      <w:pStyle w:val="Footer"/>
    </w:pPr>
  </w:p>
  <w:p w:rsidR="00BC3433" w:rsidRDefault="00BC3433"/>
  <w:p w:rsidR="00BC3433" w:rsidRDefault="00BC3433"/>
  <w:p w:rsidR="00BC3433" w:rsidRDefault="00BC343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33" w:rsidRDefault="00BC3433" w:rsidP="00966FBB">
    <w:pPr>
      <w:pStyle w:val="Footer"/>
      <w:pBdr>
        <w:top w:val="single" w:sz="4" w:space="0" w:color="D9D9D9"/>
      </w:pBdr>
      <w:jc w:val="right"/>
    </w:pPr>
    <w:r>
      <w:fldChar w:fldCharType="begin"/>
    </w:r>
    <w:r>
      <w:instrText xml:space="preserve"> PAGE   \* MERGEFORMAT </w:instrText>
    </w:r>
    <w:r>
      <w:fldChar w:fldCharType="separate"/>
    </w:r>
    <w:r w:rsidR="003111B1">
      <w:rPr>
        <w:noProof/>
      </w:rPr>
      <w:t>15</w:t>
    </w:r>
    <w:r>
      <w:rPr>
        <w:noProof/>
      </w:rPr>
      <w:fldChar w:fldCharType="end"/>
    </w:r>
    <w:r>
      <w:t xml:space="preserve"> | </w:t>
    </w:r>
    <w:r w:rsidRPr="00966FBB">
      <w:rPr>
        <w:color w:val="7F7F7F"/>
        <w:spacing w:val="60"/>
      </w:rPr>
      <w:t>Page</w:t>
    </w:r>
  </w:p>
  <w:p w:rsidR="00BC3433" w:rsidRDefault="00BC3433">
    <w:pPr>
      <w:pStyle w:val="Footer"/>
    </w:pPr>
  </w:p>
  <w:p w:rsidR="00BC3433" w:rsidRDefault="00BC3433"/>
  <w:p w:rsidR="00BC3433" w:rsidRDefault="00BC3433"/>
  <w:p w:rsidR="00BC3433" w:rsidRDefault="00BC34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433" w:rsidRDefault="00BC3433" w:rsidP="00E07645">
      <w:r>
        <w:separator/>
      </w:r>
    </w:p>
  </w:footnote>
  <w:footnote w:type="continuationSeparator" w:id="0">
    <w:p w:rsidR="00BC3433" w:rsidRDefault="00BC3433" w:rsidP="00E07645">
      <w:r>
        <w:continuationSeparator/>
      </w:r>
    </w:p>
  </w:footnote>
  <w:footnote w:id="1">
    <w:p w:rsidR="00BC3433" w:rsidRPr="00966FBB" w:rsidRDefault="00BC3433" w:rsidP="0070462A">
      <w:pPr>
        <w:shd w:val="clear" w:color="auto" w:fill="FFFFFF"/>
        <w:rPr>
          <w:rFonts w:ascii="Garamond" w:eastAsia="Times New Roman" w:hAnsi="Garamond" w:cs="Arial"/>
          <w:color w:val="1F4E79"/>
          <w:sz w:val="22"/>
          <w:szCs w:val="22"/>
          <w:lang w:bidi="hi-IN"/>
        </w:rPr>
      </w:pPr>
      <w:r>
        <w:rPr>
          <w:rStyle w:val="FootnoteReference"/>
        </w:rPr>
        <w:footnoteRef/>
      </w:r>
      <w:r>
        <w:t xml:space="preserve"> </w:t>
      </w:r>
      <w:r w:rsidRPr="00966FBB">
        <w:rPr>
          <w:rFonts w:ascii="Garamond" w:eastAsia="Times New Roman" w:hAnsi="Garamond" w:cs="Arial"/>
          <w:color w:val="1F4E79"/>
          <w:sz w:val="22"/>
          <w:szCs w:val="22"/>
          <w:lang w:bidi="hi-IN"/>
        </w:rPr>
        <w:t xml:space="preserve">Address by </w:t>
      </w:r>
      <w:r w:rsidRPr="00966FBB">
        <w:rPr>
          <w:rFonts w:ascii="Garamond" w:eastAsia="Times New Roman" w:hAnsi="Garamond" w:cs="Arial"/>
          <w:color w:val="1F4E79"/>
          <w:sz w:val="22"/>
          <w:szCs w:val="22"/>
          <w:lang w:val="en-US" w:bidi="hi-IN"/>
        </w:rPr>
        <w:t>Shri Ajay Tyagi, Chairman, SEBI at the</w:t>
      </w:r>
      <w:r w:rsidRPr="00966FBB">
        <w:rPr>
          <w:rFonts w:ascii="Garamond" w:eastAsia="Times New Roman" w:hAnsi="Garamond" w:cs="Arial"/>
          <w:color w:val="1F4E79"/>
          <w:sz w:val="22"/>
          <w:szCs w:val="22"/>
          <w:lang w:bidi="hi-IN"/>
        </w:rPr>
        <w:t xml:space="preserve"> inauguration of Arun Duggal ESG Centre for Research and Innovation, IIM Ahmedabad on December 03, 2021.</w:t>
      </w:r>
    </w:p>
    <w:p w:rsidR="00BC3433" w:rsidRDefault="00BC3433">
      <w:pPr>
        <w:pStyle w:val="FootnoteText"/>
      </w:pPr>
    </w:p>
  </w:footnote>
  <w:footnote w:id="2">
    <w:p w:rsidR="00BC3433" w:rsidRPr="00703A0B" w:rsidRDefault="00BC3433">
      <w:pPr>
        <w:pStyle w:val="FootnoteText"/>
        <w:rPr>
          <w:rFonts w:ascii="Garamond" w:hAnsi="Garamond"/>
          <w:sz w:val="22"/>
          <w:szCs w:val="22"/>
        </w:rPr>
      </w:pPr>
      <w:r>
        <w:rPr>
          <w:rStyle w:val="FootnoteReference"/>
        </w:rPr>
        <w:footnoteRef/>
      </w:r>
      <w:r>
        <w:t xml:space="preserve"> </w:t>
      </w:r>
      <w:r w:rsidRPr="00703A0B">
        <w:rPr>
          <w:rFonts w:ascii="Garamond" w:hAnsi="Garamond"/>
          <w:sz w:val="22"/>
          <w:szCs w:val="22"/>
        </w:rPr>
        <w:t>Address by Shri Ajay Tyagi, Chairman, SEBI at the Association of Investment Bankers of India Annual Summit 2021 on December 22,2021</w:t>
      </w:r>
      <w:r>
        <w:rPr>
          <w:rFonts w:ascii="Garamond" w:hAnsi="Garamond"/>
          <w:sz w:val="22"/>
          <w:szCs w:val="22"/>
        </w:rPr>
        <w:t>.</w:t>
      </w:r>
    </w:p>
  </w:footnote>
  <w:footnote w:id="3">
    <w:p w:rsidR="00115F51" w:rsidRDefault="00115F51">
      <w:pPr>
        <w:pStyle w:val="FootnoteText"/>
      </w:pPr>
      <w:r>
        <w:rPr>
          <w:rStyle w:val="FootnoteReference"/>
        </w:rPr>
        <w:footnoteRef/>
      </w:r>
      <w:r w:rsidR="004420BA" w:rsidRPr="00D562A2">
        <w:rPr>
          <w:rFonts w:ascii="Garamond" w:hAnsi="Garamond"/>
          <w:sz w:val="22"/>
          <w:szCs w:val="22"/>
        </w:rPr>
        <w:t>Opening Address by Shri Amarjeet Singh, Executive Director, SEBI at the Association of Investment Bankers of India’s 10</w:t>
      </w:r>
      <w:r w:rsidR="004420BA" w:rsidRPr="00D562A2">
        <w:rPr>
          <w:rFonts w:ascii="Garamond" w:hAnsi="Garamond"/>
          <w:sz w:val="22"/>
          <w:szCs w:val="22"/>
          <w:vertAlign w:val="superscript"/>
        </w:rPr>
        <w:t>th</w:t>
      </w:r>
      <w:r w:rsidR="004420BA" w:rsidRPr="00D562A2">
        <w:rPr>
          <w:rFonts w:ascii="Garamond" w:hAnsi="Garamond"/>
          <w:sz w:val="22"/>
          <w:szCs w:val="22"/>
        </w:rPr>
        <w:t xml:space="preserve">  Annual Summit 2021 on December 23,2021</w:t>
      </w:r>
      <w:r w:rsidR="004420BA">
        <w:rPr>
          <w:rFonts w:ascii="Garamond" w:hAnsi="Garamond"/>
          <w:sz w:val="22"/>
          <w:szCs w:val="22"/>
        </w:rPr>
        <w:t>. The views expressed are personal.</w:t>
      </w:r>
    </w:p>
  </w:footnote>
  <w:footnote w:id="4">
    <w:p w:rsidR="00BC3433" w:rsidRPr="006033E9" w:rsidRDefault="00BC3433" w:rsidP="008E4B65">
      <w:pPr>
        <w:pStyle w:val="FootnoteText"/>
      </w:pPr>
      <w:r>
        <w:rPr>
          <w:rStyle w:val="FootnoteReference"/>
        </w:rPr>
        <w:footnoteRef/>
      </w:r>
      <w:r>
        <w:t xml:space="preserve"> Source: The Economist – November 27</w:t>
      </w:r>
      <w:r w:rsidRPr="006033E9">
        <w:rPr>
          <w:vertAlign w:val="superscript"/>
        </w:rPr>
        <w:t>th</w:t>
      </w:r>
      <w:r>
        <w:t xml:space="preserve">, 2021 edition </w:t>
      </w:r>
    </w:p>
  </w:footnote>
  <w:footnote w:id="5">
    <w:p w:rsidR="00BC3433" w:rsidRPr="009F1815" w:rsidRDefault="00BC3433" w:rsidP="008E4B65">
      <w:pPr>
        <w:pStyle w:val="FootnoteText"/>
        <w:rPr>
          <w:rFonts w:ascii="Garamond" w:hAnsi="Garamond"/>
          <w:i/>
          <w:iCs/>
        </w:rPr>
      </w:pPr>
      <w:r w:rsidRPr="009F1815">
        <w:rPr>
          <w:rStyle w:val="FootnoteReference"/>
          <w:rFonts w:ascii="Garamond" w:hAnsi="Garamond"/>
          <w:i/>
          <w:iCs/>
        </w:rPr>
        <w:footnoteRef/>
      </w:r>
      <w:r w:rsidRPr="009F1815">
        <w:rPr>
          <w:rFonts w:ascii="Garamond" w:hAnsi="Garamond"/>
          <w:i/>
          <w:iCs/>
        </w:rPr>
        <w:t xml:space="preserve"> Source: The Economist – November 27</w:t>
      </w:r>
      <w:r w:rsidRPr="009F1815">
        <w:rPr>
          <w:rFonts w:ascii="Garamond" w:hAnsi="Garamond"/>
          <w:i/>
          <w:iCs/>
          <w:vertAlign w:val="superscript"/>
        </w:rPr>
        <w:t>th</w:t>
      </w:r>
      <w:r w:rsidRPr="009F1815">
        <w:rPr>
          <w:rFonts w:ascii="Garamond" w:hAnsi="Garamond"/>
          <w:i/>
          <w:iCs/>
        </w:rPr>
        <w:t>, 2021 edition</w:t>
      </w:r>
    </w:p>
  </w:footnote>
  <w:footnote w:id="6">
    <w:p w:rsidR="00BC3433" w:rsidRPr="005B5517" w:rsidRDefault="00BC3433" w:rsidP="00E545F9">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w:t>
      </w:r>
      <w:r>
        <w:rPr>
          <w:rFonts w:ascii="Palatino Linotype" w:hAnsi="Palatino Linotype"/>
          <w:i/>
        </w:rPr>
        <w:t>the</w:t>
      </w:r>
      <w:r w:rsidRPr="005B5517">
        <w:rPr>
          <w:rFonts w:ascii="Palatino Linotype" w:hAnsi="Palatino Linotype"/>
          <w:i/>
        </w:rPr>
        <w:t xml:space="preserve"> units.</w:t>
      </w:r>
    </w:p>
  </w:footnote>
  <w:footnote w:id="7">
    <w:p w:rsidR="00BC3433" w:rsidRDefault="00BC3433" w:rsidP="00077AF2">
      <w:pPr>
        <w:pStyle w:val="FootnoteText"/>
      </w:pPr>
      <w:r>
        <w:rPr>
          <w:rStyle w:val="FootnoteReference"/>
        </w:rPr>
        <w:footnoteRef/>
      </w:r>
      <w:r>
        <w:t xml:space="preserve"> </w:t>
      </w:r>
      <w:r w:rsidRPr="000D159E">
        <w:t>USA, USA, France, Germany, UK, Hong Kong</w:t>
      </w:r>
      <w:r>
        <w:t>, South Korea, Japan, Singapore and</w:t>
      </w:r>
      <w:r w:rsidRPr="000D159E">
        <w:t xml:space="preserve"> Taiwan</w:t>
      </w:r>
    </w:p>
  </w:footnote>
  <w:footnote w:id="8">
    <w:p w:rsidR="00BC3433" w:rsidRDefault="00BC3433" w:rsidP="00077AF2">
      <w:pPr>
        <w:pStyle w:val="FootnoteText"/>
      </w:pPr>
      <w:r>
        <w:rPr>
          <w:rStyle w:val="FootnoteReference"/>
        </w:rPr>
        <w:footnoteRef/>
      </w:r>
      <w:r>
        <w:t xml:space="preserve"> US, UK, Germany, Spain, Japan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33" w:rsidRDefault="00BC3433">
    <w:pPr>
      <w:pStyle w:val="Header"/>
    </w:pPr>
  </w:p>
  <w:p w:rsidR="00BC3433" w:rsidRDefault="00BC3433"/>
  <w:p w:rsidR="00BC3433" w:rsidRDefault="00BC3433"/>
  <w:p w:rsidR="00BC3433" w:rsidRDefault="00BC34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433" w:rsidRDefault="00BC3433">
    <w:pPr>
      <w:pStyle w:val="Header"/>
    </w:pPr>
  </w:p>
  <w:p w:rsidR="00BC3433" w:rsidRDefault="00BC3433"/>
  <w:p w:rsidR="00BC3433" w:rsidRDefault="00BC3433"/>
  <w:p w:rsidR="00BC3433" w:rsidRDefault="00BC34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502C3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8064DE"/>
    <w:multiLevelType w:val="hybridMultilevel"/>
    <w:tmpl w:val="E1B0C96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FC4D20"/>
    <w:multiLevelType w:val="hybridMultilevel"/>
    <w:tmpl w:val="389C35E4"/>
    <w:lvl w:ilvl="0" w:tplc="D460F2B6">
      <w:start w:val="1"/>
      <w:numFmt w:val="lowerLetter"/>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C45371"/>
    <w:multiLevelType w:val="multilevel"/>
    <w:tmpl w:val="E31EB6E4"/>
    <w:lvl w:ilvl="0">
      <w:start w:val="1"/>
      <w:numFmt w:val="bullet"/>
      <w:lvlText w:val="●"/>
      <w:lvlJc w:val="left"/>
      <w:pPr>
        <w:ind w:left="720" w:hanging="360"/>
      </w:pPr>
      <w:rPr>
        <w:rFonts w:ascii="Garamond" w:eastAsia="Noto Sans Symbols" w:hAnsi="Garamond"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F40575"/>
    <w:multiLevelType w:val="hybridMultilevel"/>
    <w:tmpl w:val="05003A28"/>
    <w:lvl w:ilvl="0" w:tplc="9A10CFA0">
      <w:start w:val="1"/>
      <w:numFmt w:val="decimal"/>
      <w:lvlText w:val="%1."/>
      <w:lvlJc w:val="left"/>
      <w:pPr>
        <w:ind w:left="840" w:hanging="360"/>
      </w:pPr>
      <w:rPr>
        <w:b/>
        <w:bCs/>
        <w:sz w:val="24"/>
        <w:szCs w:val="24"/>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7" w15:restartNumberingAfterBreak="0">
    <w:nsid w:val="0E340A6A"/>
    <w:multiLevelType w:val="hybridMultilevel"/>
    <w:tmpl w:val="700E2B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680348"/>
    <w:multiLevelType w:val="hybridMultilevel"/>
    <w:tmpl w:val="655A8AC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D659AE"/>
    <w:multiLevelType w:val="hybridMultilevel"/>
    <w:tmpl w:val="D27A33E8"/>
    <w:lvl w:ilvl="0" w:tplc="93968794">
      <w:start w:val="1"/>
      <w:numFmt w:val="low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A50CEC"/>
    <w:multiLevelType w:val="hybridMultilevel"/>
    <w:tmpl w:val="C810A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95C5856"/>
    <w:multiLevelType w:val="hybridMultilevel"/>
    <w:tmpl w:val="CBBED93A"/>
    <w:lvl w:ilvl="0" w:tplc="4580C794">
      <w:start w:val="1"/>
      <w:numFmt w:val="decimal"/>
      <w:lvlText w:val="%1."/>
      <w:lvlJc w:val="left"/>
      <w:pPr>
        <w:ind w:left="360" w:hanging="360"/>
      </w:pPr>
      <w:rPr>
        <w:rFonts w:hint="default"/>
        <w:b w:val="0"/>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8D719E"/>
    <w:multiLevelType w:val="hybridMultilevel"/>
    <w:tmpl w:val="2CA64386"/>
    <w:lvl w:ilvl="0" w:tplc="DE1218A6">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C226E2"/>
    <w:multiLevelType w:val="hybridMultilevel"/>
    <w:tmpl w:val="CEFE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025C9"/>
    <w:multiLevelType w:val="hybridMultilevel"/>
    <w:tmpl w:val="2CA64386"/>
    <w:lvl w:ilvl="0" w:tplc="DE1218A6">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0E50A8"/>
    <w:multiLevelType w:val="hybridMultilevel"/>
    <w:tmpl w:val="DFAC72CE"/>
    <w:lvl w:ilvl="0" w:tplc="A342C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C6938"/>
    <w:multiLevelType w:val="hybridMultilevel"/>
    <w:tmpl w:val="6CE2AE88"/>
    <w:lvl w:ilvl="0" w:tplc="1804C290">
      <w:start w:val="1"/>
      <w:numFmt w:val="decimal"/>
      <w:lvlText w:val="%1."/>
      <w:lvlJc w:val="left"/>
      <w:pPr>
        <w:ind w:left="360" w:hanging="360"/>
      </w:pPr>
      <w:rPr>
        <w:rFonts w:hint="default"/>
        <w:b/>
        <w:bCs w:val="0"/>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A0F6474"/>
    <w:multiLevelType w:val="hybridMultilevel"/>
    <w:tmpl w:val="FA4027F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F24088"/>
    <w:multiLevelType w:val="hybridMultilevel"/>
    <w:tmpl w:val="B4549F5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51A912C0"/>
    <w:multiLevelType w:val="hybridMultilevel"/>
    <w:tmpl w:val="F48EA9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2D75A1"/>
    <w:multiLevelType w:val="hybridMultilevel"/>
    <w:tmpl w:val="E8A6E6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BAB1064"/>
    <w:multiLevelType w:val="multilevel"/>
    <w:tmpl w:val="0E16A02E"/>
    <w:lvl w:ilvl="0">
      <w:start w:val="1"/>
      <w:numFmt w:val="decimal"/>
      <w:lvlText w:val="%1."/>
      <w:lvlJc w:val="left"/>
      <w:pPr>
        <w:ind w:left="786" w:hanging="360"/>
      </w:pPr>
      <w:rPr>
        <w:b w:val="0"/>
        <w:bCs w:val="0"/>
        <w:i w:val="0"/>
        <w:iCs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num w:numId="1">
    <w:abstractNumId w:val="5"/>
  </w:num>
  <w:num w:numId="2">
    <w:abstractNumId w:val="25"/>
  </w:num>
  <w:num w:numId="3">
    <w:abstractNumId w:val="8"/>
  </w:num>
  <w:num w:numId="4">
    <w:abstractNumId w:val="14"/>
  </w:num>
  <w:num w:numId="5">
    <w:abstractNumId w:val="13"/>
  </w:num>
  <w:num w:numId="6">
    <w:abstractNumId w:val="24"/>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5"/>
  </w:num>
  <w:num w:numId="15">
    <w:abstractNumId w:val="6"/>
  </w:num>
  <w:num w:numId="16">
    <w:abstractNumId w:val="9"/>
  </w:num>
  <w:num w:numId="17">
    <w:abstractNumId w:val="19"/>
  </w:num>
  <w:num w:numId="18">
    <w:abstractNumId w:val="12"/>
  </w:num>
  <w:num w:numId="19">
    <w:abstractNumId w:val="26"/>
  </w:num>
  <w:num w:numId="20">
    <w:abstractNumId w:val="27"/>
  </w:num>
  <w:num w:numId="21">
    <w:abstractNumId w:val="11"/>
  </w:num>
  <w:num w:numId="22">
    <w:abstractNumId w:val="18"/>
  </w:num>
  <w:num w:numId="23">
    <w:abstractNumId w:val="4"/>
  </w:num>
  <w:num w:numId="24">
    <w:abstractNumId w:val="22"/>
  </w:num>
  <w:num w:numId="25">
    <w:abstractNumId w:val="21"/>
  </w:num>
  <w:num w:numId="26">
    <w:abstractNumId w:val="16"/>
  </w:num>
  <w:num w:numId="27">
    <w:abstractNumId w:val="2"/>
  </w:num>
  <w:num w:numId="28">
    <w:abstractNumId w:val="3"/>
  </w:num>
  <w:num w:numId="29">
    <w:abstractNumId w:val="17"/>
  </w:num>
  <w:num w:numId="30">
    <w:abstractNumId w:val="23"/>
  </w:num>
  <w:num w:numId="31">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065D"/>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625D"/>
    <w:rsid w:val="00041691"/>
    <w:rsid w:val="00041693"/>
    <w:rsid w:val="00043C9A"/>
    <w:rsid w:val="00043F40"/>
    <w:rsid w:val="00045903"/>
    <w:rsid w:val="00045B3E"/>
    <w:rsid w:val="00046401"/>
    <w:rsid w:val="00046A06"/>
    <w:rsid w:val="00047581"/>
    <w:rsid w:val="000475E7"/>
    <w:rsid w:val="00047715"/>
    <w:rsid w:val="000507E2"/>
    <w:rsid w:val="00050DB7"/>
    <w:rsid w:val="00053B79"/>
    <w:rsid w:val="00055162"/>
    <w:rsid w:val="000556EC"/>
    <w:rsid w:val="000577B9"/>
    <w:rsid w:val="00057D3C"/>
    <w:rsid w:val="00062D7C"/>
    <w:rsid w:val="00062F4A"/>
    <w:rsid w:val="00063FF5"/>
    <w:rsid w:val="00065CF0"/>
    <w:rsid w:val="00065E8C"/>
    <w:rsid w:val="00066531"/>
    <w:rsid w:val="000702D1"/>
    <w:rsid w:val="00071658"/>
    <w:rsid w:val="0007274D"/>
    <w:rsid w:val="000730EC"/>
    <w:rsid w:val="0007312C"/>
    <w:rsid w:val="00073DF2"/>
    <w:rsid w:val="00074803"/>
    <w:rsid w:val="00074BD8"/>
    <w:rsid w:val="00075391"/>
    <w:rsid w:val="00075695"/>
    <w:rsid w:val="00076F6B"/>
    <w:rsid w:val="000774AB"/>
    <w:rsid w:val="0007759D"/>
    <w:rsid w:val="00077AF2"/>
    <w:rsid w:val="00077C1C"/>
    <w:rsid w:val="00080500"/>
    <w:rsid w:val="00081D7A"/>
    <w:rsid w:val="00082028"/>
    <w:rsid w:val="00082CA8"/>
    <w:rsid w:val="00084083"/>
    <w:rsid w:val="0008421C"/>
    <w:rsid w:val="000847BB"/>
    <w:rsid w:val="00084FB3"/>
    <w:rsid w:val="000859EF"/>
    <w:rsid w:val="00085A8E"/>
    <w:rsid w:val="0008687B"/>
    <w:rsid w:val="00086BF6"/>
    <w:rsid w:val="00087232"/>
    <w:rsid w:val="00087B33"/>
    <w:rsid w:val="00090A9B"/>
    <w:rsid w:val="00090DEF"/>
    <w:rsid w:val="00091168"/>
    <w:rsid w:val="00091E37"/>
    <w:rsid w:val="000920E5"/>
    <w:rsid w:val="00092887"/>
    <w:rsid w:val="000946C2"/>
    <w:rsid w:val="000960B9"/>
    <w:rsid w:val="0009614C"/>
    <w:rsid w:val="0009638E"/>
    <w:rsid w:val="00096468"/>
    <w:rsid w:val="00096C8C"/>
    <w:rsid w:val="000A047F"/>
    <w:rsid w:val="000A0816"/>
    <w:rsid w:val="000A142F"/>
    <w:rsid w:val="000A19FF"/>
    <w:rsid w:val="000A2F76"/>
    <w:rsid w:val="000A34B6"/>
    <w:rsid w:val="000A37CE"/>
    <w:rsid w:val="000A47E6"/>
    <w:rsid w:val="000A4D70"/>
    <w:rsid w:val="000A56AA"/>
    <w:rsid w:val="000A7141"/>
    <w:rsid w:val="000B0A37"/>
    <w:rsid w:val="000B0DD6"/>
    <w:rsid w:val="000B27CD"/>
    <w:rsid w:val="000B2BC5"/>
    <w:rsid w:val="000B4450"/>
    <w:rsid w:val="000B5449"/>
    <w:rsid w:val="000B5935"/>
    <w:rsid w:val="000B6B00"/>
    <w:rsid w:val="000B7BC0"/>
    <w:rsid w:val="000B7FBD"/>
    <w:rsid w:val="000C02A3"/>
    <w:rsid w:val="000C03D6"/>
    <w:rsid w:val="000C0C5B"/>
    <w:rsid w:val="000C1CD7"/>
    <w:rsid w:val="000C1D79"/>
    <w:rsid w:val="000C1EA0"/>
    <w:rsid w:val="000C2077"/>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84C"/>
    <w:rsid w:val="000E1FA1"/>
    <w:rsid w:val="000E2A6E"/>
    <w:rsid w:val="000E33A1"/>
    <w:rsid w:val="000E3746"/>
    <w:rsid w:val="000E3A95"/>
    <w:rsid w:val="000E46BB"/>
    <w:rsid w:val="000E4795"/>
    <w:rsid w:val="000E4C9B"/>
    <w:rsid w:val="000E7317"/>
    <w:rsid w:val="000E7329"/>
    <w:rsid w:val="000E76D0"/>
    <w:rsid w:val="000E76FF"/>
    <w:rsid w:val="000E777A"/>
    <w:rsid w:val="000E77E3"/>
    <w:rsid w:val="000E7AC9"/>
    <w:rsid w:val="000F02FB"/>
    <w:rsid w:val="000F0612"/>
    <w:rsid w:val="000F0BF4"/>
    <w:rsid w:val="000F17E5"/>
    <w:rsid w:val="000F236F"/>
    <w:rsid w:val="000F28BC"/>
    <w:rsid w:val="000F3F0C"/>
    <w:rsid w:val="000F4124"/>
    <w:rsid w:val="000F464D"/>
    <w:rsid w:val="000F55A8"/>
    <w:rsid w:val="000F5A2B"/>
    <w:rsid w:val="000F5AAF"/>
    <w:rsid w:val="000F6775"/>
    <w:rsid w:val="000F6B02"/>
    <w:rsid w:val="000F7372"/>
    <w:rsid w:val="000F7C8D"/>
    <w:rsid w:val="000F7F35"/>
    <w:rsid w:val="00100264"/>
    <w:rsid w:val="00100331"/>
    <w:rsid w:val="00100655"/>
    <w:rsid w:val="00100F24"/>
    <w:rsid w:val="00102392"/>
    <w:rsid w:val="001032F6"/>
    <w:rsid w:val="001034E7"/>
    <w:rsid w:val="00104045"/>
    <w:rsid w:val="001041E6"/>
    <w:rsid w:val="0010444E"/>
    <w:rsid w:val="001048AC"/>
    <w:rsid w:val="0010536E"/>
    <w:rsid w:val="00106806"/>
    <w:rsid w:val="00107440"/>
    <w:rsid w:val="00107643"/>
    <w:rsid w:val="00107D42"/>
    <w:rsid w:val="0011004C"/>
    <w:rsid w:val="0011033C"/>
    <w:rsid w:val="00110766"/>
    <w:rsid w:val="001109EA"/>
    <w:rsid w:val="00112036"/>
    <w:rsid w:val="00112407"/>
    <w:rsid w:val="00113363"/>
    <w:rsid w:val="00113380"/>
    <w:rsid w:val="00114AC5"/>
    <w:rsid w:val="00114B6F"/>
    <w:rsid w:val="00114C90"/>
    <w:rsid w:val="001155EB"/>
    <w:rsid w:val="00115F51"/>
    <w:rsid w:val="001164CA"/>
    <w:rsid w:val="0011654B"/>
    <w:rsid w:val="00120EDE"/>
    <w:rsid w:val="00121293"/>
    <w:rsid w:val="001212CB"/>
    <w:rsid w:val="00123411"/>
    <w:rsid w:val="00123543"/>
    <w:rsid w:val="0012367A"/>
    <w:rsid w:val="00124B1E"/>
    <w:rsid w:val="001254B4"/>
    <w:rsid w:val="00125AF5"/>
    <w:rsid w:val="0012648B"/>
    <w:rsid w:val="00126726"/>
    <w:rsid w:val="001279AE"/>
    <w:rsid w:val="00127DA0"/>
    <w:rsid w:val="00130027"/>
    <w:rsid w:val="00130306"/>
    <w:rsid w:val="00130BC0"/>
    <w:rsid w:val="00132024"/>
    <w:rsid w:val="00132568"/>
    <w:rsid w:val="00134BC1"/>
    <w:rsid w:val="00135041"/>
    <w:rsid w:val="001357A7"/>
    <w:rsid w:val="00135EF6"/>
    <w:rsid w:val="001363E8"/>
    <w:rsid w:val="001372F6"/>
    <w:rsid w:val="001376EC"/>
    <w:rsid w:val="00137E4B"/>
    <w:rsid w:val="00140090"/>
    <w:rsid w:val="001404C9"/>
    <w:rsid w:val="00141FC6"/>
    <w:rsid w:val="00142329"/>
    <w:rsid w:val="00143013"/>
    <w:rsid w:val="00143E99"/>
    <w:rsid w:val="001446E9"/>
    <w:rsid w:val="001450AE"/>
    <w:rsid w:val="00146A22"/>
    <w:rsid w:val="00146B24"/>
    <w:rsid w:val="00146D0E"/>
    <w:rsid w:val="00147C3C"/>
    <w:rsid w:val="00150006"/>
    <w:rsid w:val="0015021B"/>
    <w:rsid w:val="001506EA"/>
    <w:rsid w:val="00151BDF"/>
    <w:rsid w:val="00151C67"/>
    <w:rsid w:val="001523E1"/>
    <w:rsid w:val="00153CF4"/>
    <w:rsid w:val="00154F31"/>
    <w:rsid w:val="00160183"/>
    <w:rsid w:val="00160768"/>
    <w:rsid w:val="00160DEC"/>
    <w:rsid w:val="00160E47"/>
    <w:rsid w:val="0016116C"/>
    <w:rsid w:val="0016171E"/>
    <w:rsid w:val="00162443"/>
    <w:rsid w:val="00163595"/>
    <w:rsid w:val="00164669"/>
    <w:rsid w:val="00164B80"/>
    <w:rsid w:val="00164F38"/>
    <w:rsid w:val="0016593A"/>
    <w:rsid w:val="001662DE"/>
    <w:rsid w:val="0016654B"/>
    <w:rsid w:val="001667BE"/>
    <w:rsid w:val="00166B5E"/>
    <w:rsid w:val="00166FE1"/>
    <w:rsid w:val="00170534"/>
    <w:rsid w:val="0017198F"/>
    <w:rsid w:val="001720CD"/>
    <w:rsid w:val="0017288A"/>
    <w:rsid w:val="00174359"/>
    <w:rsid w:val="00175031"/>
    <w:rsid w:val="001755DE"/>
    <w:rsid w:val="00175977"/>
    <w:rsid w:val="00175A49"/>
    <w:rsid w:val="00175C02"/>
    <w:rsid w:val="00177824"/>
    <w:rsid w:val="00177BD1"/>
    <w:rsid w:val="00177C4A"/>
    <w:rsid w:val="00180355"/>
    <w:rsid w:val="0018049A"/>
    <w:rsid w:val="001816BF"/>
    <w:rsid w:val="0018197C"/>
    <w:rsid w:val="0018293F"/>
    <w:rsid w:val="00182965"/>
    <w:rsid w:val="0018378C"/>
    <w:rsid w:val="00183E80"/>
    <w:rsid w:val="001847A1"/>
    <w:rsid w:val="00184C5B"/>
    <w:rsid w:val="00184D09"/>
    <w:rsid w:val="0018502D"/>
    <w:rsid w:val="00185553"/>
    <w:rsid w:val="001868D6"/>
    <w:rsid w:val="00186AD9"/>
    <w:rsid w:val="00186E61"/>
    <w:rsid w:val="001912C3"/>
    <w:rsid w:val="00191B9C"/>
    <w:rsid w:val="0019305B"/>
    <w:rsid w:val="001932A2"/>
    <w:rsid w:val="00193EFB"/>
    <w:rsid w:val="0019451C"/>
    <w:rsid w:val="00194F88"/>
    <w:rsid w:val="00195B2A"/>
    <w:rsid w:val="00195FEB"/>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149"/>
    <w:rsid w:val="001C2441"/>
    <w:rsid w:val="001C3230"/>
    <w:rsid w:val="001C4EE9"/>
    <w:rsid w:val="001C5DA4"/>
    <w:rsid w:val="001C637A"/>
    <w:rsid w:val="001C7B26"/>
    <w:rsid w:val="001C7B28"/>
    <w:rsid w:val="001D04F5"/>
    <w:rsid w:val="001D093A"/>
    <w:rsid w:val="001D0BCA"/>
    <w:rsid w:val="001D1700"/>
    <w:rsid w:val="001D1729"/>
    <w:rsid w:val="001D1888"/>
    <w:rsid w:val="001D2CA3"/>
    <w:rsid w:val="001D4399"/>
    <w:rsid w:val="001D4801"/>
    <w:rsid w:val="001D4880"/>
    <w:rsid w:val="001D52A6"/>
    <w:rsid w:val="001D5BBC"/>
    <w:rsid w:val="001D68DB"/>
    <w:rsid w:val="001D7AA4"/>
    <w:rsid w:val="001D7B80"/>
    <w:rsid w:val="001E0BB4"/>
    <w:rsid w:val="001E1254"/>
    <w:rsid w:val="001E1FC4"/>
    <w:rsid w:val="001E20EA"/>
    <w:rsid w:val="001E2A24"/>
    <w:rsid w:val="001E3F5F"/>
    <w:rsid w:val="001E4032"/>
    <w:rsid w:val="001E4F7E"/>
    <w:rsid w:val="001E5152"/>
    <w:rsid w:val="001E51C8"/>
    <w:rsid w:val="001E722D"/>
    <w:rsid w:val="001E79D3"/>
    <w:rsid w:val="001E7A6D"/>
    <w:rsid w:val="001F078D"/>
    <w:rsid w:val="001F19F8"/>
    <w:rsid w:val="001F27DC"/>
    <w:rsid w:val="001F359F"/>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4741"/>
    <w:rsid w:val="0021539B"/>
    <w:rsid w:val="00217822"/>
    <w:rsid w:val="0022096F"/>
    <w:rsid w:val="00220AB1"/>
    <w:rsid w:val="00220C24"/>
    <w:rsid w:val="00220D54"/>
    <w:rsid w:val="00222713"/>
    <w:rsid w:val="00223671"/>
    <w:rsid w:val="002240ED"/>
    <w:rsid w:val="002245EC"/>
    <w:rsid w:val="00224764"/>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227C"/>
    <w:rsid w:val="00243068"/>
    <w:rsid w:val="0024330D"/>
    <w:rsid w:val="00243434"/>
    <w:rsid w:val="002447CE"/>
    <w:rsid w:val="00244EAF"/>
    <w:rsid w:val="0024500A"/>
    <w:rsid w:val="002450DA"/>
    <w:rsid w:val="00245553"/>
    <w:rsid w:val="00245FA4"/>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3979"/>
    <w:rsid w:val="002647AE"/>
    <w:rsid w:val="00265CA8"/>
    <w:rsid w:val="00265D60"/>
    <w:rsid w:val="00265D83"/>
    <w:rsid w:val="002664D0"/>
    <w:rsid w:val="00266B8C"/>
    <w:rsid w:val="0026767E"/>
    <w:rsid w:val="00267A7C"/>
    <w:rsid w:val="0027194E"/>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19FF"/>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44A0"/>
    <w:rsid w:val="002A4A48"/>
    <w:rsid w:val="002A51F7"/>
    <w:rsid w:val="002A54FF"/>
    <w:rsid w:val="002A635E"/>
    <w:rsid w:val="002A6544"/>
    <w:rsid w:val="002A68F6"/>
    <w:rsid w:val="002A7477"/>
    <w:rsid w:val="002A7A64"/>
    <w:rsid w:val="002A7D0C"/>
    <w:rsid w:val="002B0029"/>
    <w:rsid w:val="002B0E62"/>
    <w:rsid w:val="002B10BE"/>
    <w:rsid w:val="002B13B8"/>
    <w:rsid w:val="002B1D79"/>
    <w:rsid w:val="002B2515"/>
    <w:rsid w:val="002B2FED"/>
    <w:rsid w:val="002B402D"/>
    <w:rsid w:val="002B6143"/>
    <w:rsid w:val="002B769A"/>
    <w:rsid w:val="002C0082"/>
    <w:rsid w:val="002C0CF3"/>
    <w:rsid w:val="002C1128"/>
    <w:rsid w:val="002C1136"/>
    <w:rsid w:val="002C1200"/>
    <w:rsid w:val="002C2400"/>
    <w:rsid w:val="002C2CFE"/>
    <w:rsid w:val="002C3645"/>
    <w:rsid w:val="002C4936"/>
    <w:rsid w:val="002C4D20"/>
    <w:rsid w:val="002C4ED2"/>
    <w:rsid w:val="002C54CA"/>
    <w:rsid w:val="002C6429"/>
    <w:rsid w:val="002C6CCB"/>
    <w:rsid w:val="002C6FCE"/>
    <w:rsid w:val="002C7385"/>
    <w:rsid w:val="002C7A76"/>
    <w:rsid w:val="002C7D3D"/>
    <w:rsid w:val="002C7F2D"/>
    <w:rsid w:val="002D09D6"/>
    <w:rsid w:val="002D0AE7"/>
    <w:rsid w:val="002D2DC8"/>
    <w:rsid w:val="002D364D"/>
    <w:rsid w:val="002D3AEB"/>
    <w:rsid w:val="002D3E7C"/>
    <w:rsid w:val="002D42CB"/>
    <w:rsid w:val="002D432D"/>
    <w:rsid w:val="002D4D99"/>
    <w:rsid w:val="002D66B4"/>
    <w:rsid w:val="002D6708"/>
    <w:rsid w:val="002D724A"/>
    <w:rsid w:val="002E006D"/>
    <w:rsid w:val="002E04D1"/>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11DF"/>
    <w:rsid w:val="002F2903"/>
    <w:rsid w:val="002F2984"/>
    <w:rsid w:val="002F2F21"/>
    <w:rsid w:val="002F3796"/>
    <w:rsid w:val="002F3AF7"/>
    <w:rsid w:val="002F41CD"/>
    <w:rsid w:val="002F70EB"/>
    <w:rsid w:val="002F71DF"/>
    <w:rsid w:val="0030004F"/>
    <w:rsid w:val="00300262"/>
    <w:rsid w:val="0030113D"/>
    <w:rsid w:val="00301C6A"/>
    <w:rsid w:val="0030208E"/>
    <w:rsid w:val="00302629"/>
    <w:rsid w:val="00302A9D"/>
    <w:rsid w:val="0030426F"/>
    <w:rsid w:val="00304C7D"/>
    <w:rsid w:val="00305062"/>
    <w:rsid w:val="0030548A"/>
    <w:rsid w:val="00305806"/>
    <w:rsid w:val="003064C4"/>
    <w:rsid w:val="00306646"/>
    <w:rsid w:val="00310322"/>
    <w:rsid w:val="003103C6"/>
    <w:rsid w:val="00310A33"/>
    <w:rsid w:val="00310D4F"/>
    <w:rsid w:val="003111B1"/>
    <w:rsid w:val="00312489"/>
    <w:rsid w:val="00312D42"/>
    <w:rsid w:val="0031379C"/>
    <w:rsid w:val="00313F0E"/>
    <w:rsid w:val="00314402"/>
    <w:rsid w:val="00314E26"/>
    <w:rsid w:val="00314ED5"/>
    <w:rsid w:val="00315CB7"/>
    <w:rsid w:val="0031610E"/>
    <w:rsid w:val="003162C3"/>
    <w:rsid w:val="00316405"/>
    <w:rsid w:val="00317634"/>
    <w:rsid w:val="00317D01"/>
    <w:rsid w:val="0032036A"/>
    <w:rsid w:val="00321324"/>
    <w:rsid w:val="003216A2"/>
    <w:rsid w:val="003219BE"/>
    <w:rsid w:val="0032394B"/>
    <w:rsid w:val="00324131"/>
    <w:rsid w:val="00325395"/>
    <w:rsid w:val="00326A7E"/>
    <w:rsid w:val="0033096F"/>
    <w:rsid w:val="00331382"/>
    <w:rsid w:val="00332050"/>
    <w:rsid w:val="00332124"/>
    <w:rsid w:val="003321CF"/>
    <w:rsid w:val="003323BA"/>
    <w:rsid w:val="003323D9"/>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3C1F"/>
    <w:rsid w:val="003656FA"/>
    <w:rsid w:val="00365A69"/>
    <w:rsid w:val="003663E6"/>
    <w:rsid w:val="003671F5"/>
    <w:rsid w:val="00371DD7"/>
    <w:rsid w:val="00371E4B"/>
    <w:rsid w:val="00372242"/>
    <w:rsid w:val="00373978"/>
    <w:rsid w:val="00373B39"/>
    <w:rsid w:val="0037442E"/>
    <w:rsid w:val="003745A0"/>
    <w:rsid w:val="00374E1A"/>
    <w:rsid w:val="00375172"/>
    <w:rsid w:val="003755CB"/>
    <w:rsid w:val="00375E21"/>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135"/>
    <w:rsid w:val="0039732B"/>
    <w:rsid w:val="003976DA"/>
    <w:rsid w:val="00397E98"/>
    <w:rsid w:val="003A17FF"/>
    <w:rsid w:val="003A21E5"/>
    <w:rsid w:val="003A297D"/>
    <w:rsid w:val="003A2BF9"/>
    <w:rsid w:val="003A331B"/>
    <w:rsid w:val="003A3BEA"/>
    <w:rsid w:val="003A4791"/>
    <w:rsid w:val="003A48C5"/>
    <w:rsid w:val="003A4AC6"/>
    <w:rsid w:val="003A4BE3"/>
    <w:rsid w:val="003A5FB5"/>
    <w:rsid w:val="003B0D0B"/>
    <w:rsid w:val="003B1065"/>
    <w:rsid w:val="003B16D2"/>
    <w:rsid w:val="003B1DAD"/>
    <w:rsid w:val="003B1F08"/>
    <w:rsid w:val="003B2AA2"/>
    <w:rsid w:val="003B2FD2"/>
    <w:rsid w:val="003B5D3E"/>
    <w:rsid w:val="003B6169"/>
    <w:rsid w:val="003B6B7F"/>
    <w:rsid w:val="003B6CA4"/>
    <w:rsid w:val="003B7137"/>
    <w:rsid w:val="003C0053"/>
    <w:rsid w:val="003C03E0"/>
    <w:rsid w:val="003C05C5"/>
    <w:rsid w:val="003C1892"/>
    <w:rsid w:val="003C1D4C"/>
    <w:rsid w:val="003C2485"/>
    <w:rsid w:val="003C2CFF"/>
    <w:rsid w:val="003C2E75"/>
    <w:rsid w:val="003C2E80"/>
    <w:rsid w:val="003C3AA0"/>
    <w:rsid w:val="003C3DD7"/>
    <w:rsid w:val="003C4496"/>
    <w:rsid w:val="003C51EB"/>
    <w:rsid w:val="003C6A4A"/>
    <w:rsid w:val="003C70B1"/>
    <w:rsid w:val="003C728F"/>
    <w:rsid w:val="003C7769"/>
    <w:rsid w:val="003D15FC"/>
    <w:rsid w:val="003D192D"/>
    <w:rsid w:val="003D1C08"/>
    <w:rsid w:val="003D1EB4"/>
    <w:rsid w:val="003D2B66"/>
    <w:rsid w:val="003D2D6D"/>
    <w:rsid w:val="003D31FD"/>
    <w:rsid w:val="003D3C28"/>
    <w:rsid w:val="003D3F72"/>
    <w:rsid w:val="003D42E3"/>
    <w:rsid w:val="003D4466"/>
    <w:rsid w:val="003D5C27"/>
    <w:rsid w:val="003D77FA"/>
    <w:rsid w:val="003D7F47"/>
    <w:rsid w:val="003E0D79"/>
    <w:rsid w:val="003E0F9F"/>
    <w:rsid w:val="003E14ED"/>
    <w:rsid w:val="003E1821"/>
    <w:rsid w:val="003E1929"/>
    <w:rsid w:val="003E5A8A"/>
    <w:rsid w:val="003E5D13"/>
    <w:rsid w:val="003E61D3"/>
    <w:rsid w:val="003E63F8"/>
    <w:rsid w:val="003E6B8D"/>
    <w:rsid w:val="003E6D2B"/>
    <w:rsid w:val="003E70CB"/>
    <w:rsid w:val="003E71C8"/>
    <w:rsid w:val="003F0D78"/>
    <w:rsid w:val="003F1032"/>
    <w:rsid w:val="003F139B"/>
    <w:rsid w:val="003F1FB2"/>
    <w:rsid w:val="003F2F76"/>
    <w:rsid w:val="003F384D"/>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468"/>
    <w:rsid w:val="004018C7"/>
    <w:rsid w:val="00401C57"/>
    <w:rsid w:val="004026E0"/>
    <w:rsid w:val="004028D9"/>
    <w:rsid w:val="00404768"/>
    <w:rsid w:val="00404CDD"/>
    <w:rsid w:val="00404F7C"/>
    <w:rsid w:val="004066A2"/>
    <w:rsid w:val="00406C29"/>
    <w:rsid w:val="00406CA1"/>
    <w:rsid w:val="0041013E"/>
    <w:rsid w:val="00410C67"/>
    <w:rsid w:val="00410EED"/>
    <w:rsid w:val="0041126A"/>
    <w:rsid w:val="004114CB"/>
    <w:rsid w:val="00411783"/>
    <w:rsid w:val="00411A91"/>
    <w:rsid w:val="004127A2"/>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1FD"/>
    <w:rsid w:val="00424C9E"/>
    <w:rsid w:val="004255B6"/>
    <w:rsid w:val="0042605C"/>
    <w:rsid w:val="00426D22"/>
    <w:rsid w:val="00427912"/>
    <w:rsid w:val="00430234"/>
    <w:rsid w:val="00430948"/>
    <w:rsid w:val="004312D0"/>
    <w:rsid w:val="00431AF3"/>
    <w:rsid w:val="00432430"/>
    <w:rsid w:val="00432A89"/>
    <w:rsid w:val="00432CD0"/>
    <w:rsid w:val="004333ED"/>
    <w:rsid w:val="004338FC"/>
    <w:rsid w:val="00433C37"/>
    <w:rsid w:val="0043444E"/>
    <w:rsid w:val="00434487"/>
    <w:rsid w:val="004354AF"/>
    <w:rsid w:val="00436B9A"/>
    <w:rsid w:val="0044161F"/>
    <w:rsid w:val="004420BA"/>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638C"/>
    <w:rsid w:val="00457A73"/>
    <w:rsid w:val="00460B5A"/>
    <w:rsid w:val="00461079"/>
    <w:rsid w:val="00462BB7"/>
    <w:rsid w:val="0046376B"/>
    <w:rsid w:val="00465207"/>
    <w:rsid w:val="0046520C"/>
    <w:rsid w:val="00465BEA"/>
    <w:rsid w:val="00467125"/>
    <w:rsid w:val="00470C37"/>
    <w:rsid w:val="00470E75"/>
    <w:rsid w:val="00471819"/>
    <w:rsid w:val="00471C73"/>
    <w:rsid w:val="00473AB6"/>
    <w:rsid w:val="0047416D"/>
    <w:rsid w:val="00474CDF"/>
    <w:rsid w:val="00474EEE"/>
    <w:rsid w:val="00475B6F"/>
    <w:rsid w:val="00475EA5"/>
    <w:rsid w:val="00476049"/>
    <w:rsid w:val="00476DC3"/>
    <w:rsid w:val="00477023"/>
    <w:rsid w:val="00481088"/>
    <w:rsid w:val="0048109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473"/>
    <w:rsid w:val="004A5CBC"/>
    <w:rsid w:val="004A77AF"/>
    <w:rsid w:val="004B1561"/>
    <w:rsid w:val="004B37FD"/>
    <w:rsid w:val="004B3A7C"/>
    <w:rsid w:val="004B44C0"/>
    <w:rsid w:val="004B50FF"/>
    <w:rsid w:val="004B52CF"/>
    <w:rsid w:val="004B58D5"/>
    <w:rsid w:val="004B68FB"/>
    <w:rsid w:val="004B74FC"/>
    <w:rsid w:val="004B75B3"/>
    <w:rsid w:val="004B7B6E"/>
    <w:rsid w:val="004B7DF7"/>
    <w:rsid w:val="004B7E75"/>
    <w:rsid w:val="004C06B8"/>
    <w:rsid w:val="004C1507"/>
    <w:rsid w:val="004C2E1D"/>
    <w:rsid w:val="004C342F"/>
    <w:rsid w:val="004C41AD"/>
    <w:rsid w:val="004C4992"/>
    <w:rsid w:val="004C5AAA"/>
    <w:rsid w:val="004C5B13"/>
    <w:rsid w:val="004C5CDD"/>
    <w:rsid w:val="004C671E"/>
    <w:rsid w:val="004C6C55"/>
    <w:rsid w:val="004C755E"/>
    <w:rsid w:val="004C7FE7"/>
    <w:rsid w:val="004D03BA"/>
    <w:rsid w:val="004D10FC"/>
    <w:rsid w:val="004D20E5"/>
    <w:rsid w:val="004D2766"/>
    <w:rsid w:val="004D480C"/>
    <w:rsid w:val="004D4942"/>
    <w:rsid w:val="004D5075"/>
    <w:rsid w:val="004D561B"/>
    <w:rsid w:val="004D6063"/>
    <w:rsid w:val="004D681F"/>
    <w:rsid w:val="004D77F7"/>
    <w:rsid w:val="004E1212"/>
    <w:rsid w:val="004E18EB"/>
    <w:rsid w:val="004E1A56"/>
    <w:rsid w:val="004E204B"/>
    <w:rsid w:val="004E2725"/>
    <w:rsid w:val="004E40DA"/>
    <w:rsid w:val="004E44D7"/>
    <w:rsid w:val="004E4666"/>
    <w:rsid w:val="004E4D44"/>
    <w:rsid w:val="004E4F2A"/>
    <w:rsid w:val="004E4FF9"/>
    <w:rsid w:val="004E59E1"/>
    <w:rsid w:val="004E68D9"/>
    <w:rsid w:val="004E6A68"/>
    <w:rsid w:val="004E76E0"/>
    <w:rsid w:val="004F092E"/>
    <w:rsid w:val="004F0E2C"/>
    <w:rsid w:val="004F1BBB"/>
    <w:rsid w:val="004F328A"/>
    <w:rsid w:val="004F4B1D"/>
    <w:rsid w:val="004F4FDA"/>
    <w:rsid w:val="004F560A"/>
    <w:rsid w:val="004F6E2D"/>
    <w:rsid w:val="004F754E"/>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4244"/>
    <w:rsid w:val="0051508B"/>
    <w:rsid w:val="00515FF5"/>
    <w:rsid w:val="005179F5"/>
    <w:rsid w:val="00517AB4"/>
    <w:rsid w:val="00520349"/>
    <w:rsid w:val="005209F9"/>
    <w:rsid w:val="00522769"/>
    <w:rsid w:val="005228CE"/>
    <w:rsid w:val="00522CF8"/>
    <w:rsid w:val="00523195"/>
    <w:rsid w:val="0052378B"/>
    <w:rsid w:val="00523C6B"/>
    <w:rsid w:val="00523DB5"/>
    <w:rsid w:val="0052445F"/>
    <w:rsid w:val="00526A07"/>
    <w:rsid w:val="00527C0B"/>
    <w:rsid w:val="00530099"/>
    <w:rsid w:val="005308BB"/>
    <w:rsid w:val="00530909"/>
    <w:rsid w:val="00531BA9"/>
    <w:rsid w:val="00532DCC"/>
    <w:rsid w:val="0053331A"/>
    <w:rsid w:val="00533B8C"/>
    <w:rsid w:val="00533DA0"/>
    <w:rsid w:val="00534667"/>
    <w:rsid w:val="00536359"/>
    <w:rsid w:val="005363D6"/>
    <w:rsid w:val="005364CA"/>
    <w:rsid w:val="0053744E"/>
    <w:rsid w:val="00537FE9"/>
    <w:rsid w:val="00540E3D"/>
    <w:rsid w:val="00540F6D"/>
    <w:rsid w:val="005430DE"/>
    <w:rsid w:val="00543616"/>
    <w:rsid w:val="005436F8"/>
    <w:rsid w:val="0054408A"/>
    <w:rsid w:val="00544A10"/>
    <w:rsid w:val="00544EE7"/>
    <w:rsid w:val="005456C0"/>
    <w:rsid w:val="005459F8"/>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59D2"/>
    <w:rsid w:val="005560D4"/>
    <w:rsid w:val="0055674D"/>
    <w:rsid w:val="00556A8C"/>
    <w:rsid w:val="00557075"/>
    <w:rsid w:val="00557F52"/>
    <w:rsid w:val="00557F61"/>
    <w:rsid w:val="005609FB"/>
    <w:rsid w:val="00561B4E"/>
    <w:rsid w:val="00561BB9"/>
    <w:rsid w:val="00562052"/>
    <w:rsid w:val="00562448"/>
    <w:rsid w:val="00562529"/>
    <w:rsid w:val="005628AE"/>
    <w:rsid w:val="00562BBD"/>
    <w:rsid w:val="00563987"/>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77440"/>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86FDC"/>
    <w:rsid w:val="0059339E"/>
    <w:rsid w:val="00593652"/>
    <w:rsid w:val="005936C9"/>
    <w:rsid w:val="00594142"/>
    <w:rsid w:val="00594C6C"/>
    <w:rsid w:val="00594DA2"/>
    <w:rsid w:val="00595268"/>
    <w:rsid w:val="00595330"/>
    <w:rsid w:val="00595392"/>
    <w:rsid w:val="00595DF3"/>
    <w:rsid w:val="0059680B"/>
    <w:rsid w:val="00596E5C"/>
    <w:rsid w:val="005A0285"/>
    <w:rsid w:val="005A0A20"/>
    <w:rsid w:val="005A15AF"/>
    <w:rsid w:val="005A15B1"/>
    <w:rsid w:val="005A1704"/>
    <w:rsid w:val="005A1BA3"/>
    <w:rsid w:val="005A1FFE"/>
    <w:rsid w:val="005A282D"/>
    <w:rsid w:val="005A3028"/>
    <w:rsid w:val="005A3CBE"/>
    <w:rsid w:val="005A3DA3"/>
    <w:rsid w:val="005A3F7D"/>
    <w:rsid w:val="005A40A3"/>
    <w:rsid w:val="005A4316"/>
    <w:rsid w:val="005A4D17"/>
    <w:rsid w:val="005A55E3"/>
    <w:rsid w:val="005A5AC8"/>
    <w:rsid w:val="005A5F84"/>
    <w:rsid w:val="005A765A"/>
    <w:rsid w:val="005A7FA8"/>
    <w:rsid w:val="005B05E6"/>
    <w:rsid w:val="005B0C69"/>
    <w:rsid w:val="005B1031"/>
    <w:rsid w:val="005B1872"/>
    <w:rsid w:val="005B1CA9"/>
    <w:rsid w:val="005B2091"/>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366"/>
    <w:rsid w:val="005D5970"/>
    <w:rsid w:val="005D7224"/>
    <w:rsid w:val="005D738E"/>
    <w:rsid w:val="005D7E5E"/>
    <w:rsid w:val="005E0219"/>
    <w:rsid w:val="005E0816"/>
    <w:rsid w:val="005E0AEF"/>
    <w:rsid w:val="005E0F99"/>
    <w:rsid w:val="005E1961"/>
    <w:rsid w:val="005E2A41"/>
    <w:rsid w:val="005E3653"/>
    <w:rsid w:val="005E3B1B"/>
    <w:rsid w:val="005E4ECB"/>
    <w:rsid w:val="005E4FE5"/>
    <w:rsid w:val="005E66C3"/>
    <w:rsid w:val="005E6F72"/>
    <w:rsid w:val="005E7795"/>
    <w:rsid w:val="005F0012"/>
    <w:rsid w:val="005F0A31"/>
    <w:rsid w:val="005F15E4"/>
    <w:rsid w:val="005F27D6"/>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4BA3"/>
    <w:rsid w:val="00605018"/>
    <w:rsid w:val="006056C6"/>
    <w:rsid w:val="00605A24"/>
    <w:rsid w:val="00605DA3"/>
    <w:rsid w:val="0060602C"/>
    <w:rsid w:val="00606689"/>
    <w:rsid w:val="00606E35"/>
    <w:rsid w:val="00606F38"/>
    <w:rsid w:val="00607698"/>
    <w:rsid w:val="006100DD"/>
    <w:rsid w:val="0061099B"/>
    <w:rsid w:val="00610C35"/>
    <w:rsid w:val="00610CFC"/>
    <w:rsid w:val="006116C3"/>
    <w:rsid w:val="00611DA1"/>
    <w:rsid w:val="00612E2F"/>
    <w:rsid w:val="00612E44"/>
    <w:rsid w:val="00613959"/>
    <w:rsid w:val="00614BDD"/>
    <w:rsid w:val="00614D29"/>
    <w:rsid w:val="00615563"/>
    <w:rsid w:val="00615BAE"/>
    <w:rsid w:val="00615DB4"/>
    <w:rsid w:val="00615ED4"/>
    <w:rsid w:val="00615F62"/>
    <w:rsid w:val="00620035"/>
    <w:rsid w:val="00620BE6"/>
    <w:rsid w:val="00620D83"/>
    <w:rsid w:val="006212DC"/>
    <w:rsid w:val="00621E66"/>
    <w:rsid w:val="00622F71"/>
    <w:rsid w:val="0062348C"/>
    <w:rsid w:val="00623736"/>
    <w:rsid w:val="00623D21"/>
    <w:rsid w:val="006250FD"/>
    <w:rsid w:val="0062626C"/>
    <w:rsid w:val="00627C67"/>
    <w:rsid w:val="00630831"/>
    <w:rsid w:val="00634228"/>
    <w:rsid w:val="006346B2"/>
    <w:rsid w:val="00634B83"/>
    <w:rsid w:val="00635443"/>
    <w:rsid w:val="006356F7"/>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4C75"/>
    <w:rsid w:val="0065637B"/>
    <w:rsid w:val="00657483"/>
    <w:rsid w:val="00657566"/>
    <w:rsid w:val="006609BA"/>
    <w:rsid w:val="00660B5A"/>
    <w:rsid w:val="00660BB8"/>
    <w:rsid w:val="0066206E"/>
    <w:rsid w:val="006639C3"/>
    <w:rsid w:val="00664558"/>
    <w:rsid w:val="00665D17"/>
    <w:rsid w:val="0066762D"/>
    <w:rsid w:val="006677F4"/>
    <w:rsid w:val="0067060D"/>
    <w:rsid w:val="00671E15"/>
    <w:rsid w:val="0067306A"/>
    <w:rsid w:val="00673377"/>
    <w:rsid w:val="006746EC"/>
    <w:rsid w:val="006747B6"/>
    <w:rsid w:val="006752EC"/>
    <w:rsid w:val="00675669"/>
    <w:rsid w:val="00675CCB"/>
    <w:rsid w:val="006764C5"/>
    <w:rsid w:val="00676C0A"/>
    <w:rsid w:val="006770F9"/>
    <w:rsid w:val="006772CA"/>
    <w:rsid w:val="00677A80"/>
    <w:rsid w:val="00677D66"/>
    <w:rsid w:val="00677E70"/>
    <w:rsid w:val="00682024"/>
    <w:rsid w:val="00682378"/>
    <w:rsid w:val="006826F4"/>
    <w:rsid w:val="0068361F"/>
    <w:rsid w:val="0068366D"/>
    <w:rsid w:val="006849C4"/>
    <w:rsid w:val="00684B64"/>
    <w:rsid w:val="00684D9D"/>
    <w:rsid w:val="00686856"/>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759"/>
    <w:rsid w:val="006A285B"/>
    <w:rsid w:val="006A2996"/>
    <w:rsid w:val="006A351B"/>
    <w:rsid w:val="006A3B50"/>
    <w:rsid w:val="006A3E37"/>
    <w:rsid w:val="006A4AE7"/>
    <w:rsid w:val="006A4BB9"/>
    <w:rsid w:val="006A5020"/>
    <w:rsid w:val="006A566F"/>
    <w:rsid w:val="006A5E7D"/>
    <w:rsid w:val="006A5F6D"/>
    <w:rsid w:val="006A6CB3"/>
    <w:rsid w:val="006B0DF3"/>
    <w:rsid w:val="006B2C0E"/>
    <w:rsid w:val="006B2C93"/>
    <w:rsid w:val="006B31E6"/>
    <w:rsid w:val="006B35F9"/>
    <w:rsid w:val="006B3750"/>
    <w:rsid w:val="006B3A97"/>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2A3"/>
    <w:rsid w:val="006F5696"/>
    <w:rsid w:val="006F587F"/>
    <w:rsid w:val="006F6807"/>
    <w:rsid w:val="006F730C"/>
    <w:rsid w:val="00703A0B"/>
    <w:rsid w:val="007040D9"/>
    <w:rsid w:val="0070462A"/>
    <w:rsid w:val="00705B35"/>
    <w:rsid w:val="00706036"/>
    <w:rsid w:val="00706CB2"/>
    <w:rsid w:val="00707D06"/>
    <w:rsid w:val="007105B1"/>
    <w:rsid w:val="00711718"/>
    <w:rsid w:val="00713267"/>
    <w:rsid w:val="00713E40"/>
    <w:rsid w:val="00714637"/>
    <w:rsid w:val="00714725"/>
    <w:rsid w:val="007147ED"/>
    <w:rsid w:val="00714931"/>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2A5D"/>
    <w:rsid w:val="0073327C"/>
    <w:rsid w:val="0073377B"/>
    <w:rsid w:val="0073382E"/>
    <w:rsid w:val="00734548"/>
    <w:rsid w:val="00734664"/>
    <w:rsid w:val="00734D6C"/>
    <w:rsid w:val="00735E26"/>
    <w:rsid w:val="00736735"/>
    <w:rsid w:val="00737ED0"/>
    <w:rsid w:val="007402CA"/>
    <w:rsid w:val="00740743"/>
    <w:rsid w:val="00740F0D"/>
    <w:rsid w:val="00740FD6"/>
    <w:rsid w:val="00741CA3"/>
    <w:rsid w:val="0074212F"/>
    <w:rsid w:val="007442FA"/>
    <w:rsid w:val="007448A6"/>
    <w:rsid w:val="00747660"/>
    <w:rsid w:val="00747B17"/>
    <w:rsid w:val="00747D9D"/>
    <w:rsid w:val="007500D2"/>
    <w:rsid w:val="007502EA"/>
    <w:rsid w:val="007509C8"/>
    <w:rsid w:val="00750E6E"/>
    <w:rsid w:val="0075135A"/>
    <w:rsid w:val="007518D6"/>
    <w:rsid w:val="007522E5"/>
    <w:rsid w:val="0075259F"/>
    <w:rsid w:val="00752A49"/>
    <w:rsid w:val="00753513"/>
    <w:rsid w:val="007547DA"/>
    <w:rsid w:val="00754CFA"/>
    <w:rsid w:val="007550EC"/>
    <w:rsid w:val="00756ED6"/>
    <w:rsid w:val="00757F21"/>
    <w:rsid w:val="00761332"/>
    <w:rsid w:val="0076135C"/>
    <w:rsid w:val="007617CE"/>
    <w:rsid w:val="00762299"/>
    <w:rsid w:val="0076574F"/>
    <w:rsid w:val="00765C1D"/>
    <w:rsid w:val="00765EB9"/>
    <w:rsid w:val="00766030"/>
    <w:rsid w:val="00766DB9"/>
    <w:rsid w:val="00770073"/>
    <w:rsid w:val="0077018F"/>
    <w:rsid w:val="00771E4F"/>
    <w:rsid w:val="0077298A"/>
    <w:rsid w:val="007737AA"/>
    <w:rsid w:val="00773A76"/>
    <w:rsid w:val="00775564"/>
    <w:rsid w:val="00776955"/>
    <w:rsid w:val="0077710E"/>
    <w:rsid w:val="00777607"/>
    <w:rsid w:val="0077767C"/>
    <w:rsid w:val="00777A64"/>
    <w:rsid w:val="007806EA"/>
    <w:rsid w:val="00780D32"/>
    <w:rsid w:val="00781A7D"/>
    <w:rsid w:val="00781E09"/>
    <w:rsid w:val="00782843"/>
    <w:rsid w:val="00787D73"/>
    <w:rsid w:val="007912B4"/>
    <w:rsid w:val="0079221D"/>
    <w:rsid w:val="00795793"/>
    <w:rsid w:val="00795D12"/>
    <w:rsid w:val="00796C73"/>
    <w:rsid w:val="007978DE"/>
    <w:rsid w:val="007A1490"/>
    <w:rsid w:val="007A209A"/>
    <w:rsid w:val="007A291E"/>
    <w:rsid w:val="007A54BA"/>
    <w:rsid w:val="007A583C"/>
    <w:rsid w:val="007A5939"/>
    <w:rsid w:val="007A5C7F"/>
    <w:rsid w:val="007A6167"/>
    <w:rsid w:val="007A66D8"/>
    <w:rsid w:val="007A6867"/>
    <w:rsid w:val="007A7B9F"/>
    <w:rsid w:val="007B006B"/>
    <w:rsid w:val="007B01E7"/>
    <w:rsid w:val="007B053B"/>
    <w:rsid w:val="007B0791"/>
    <w:rsid w:val="007B0A17"/>
    <w:rsid w:val="007B1F58"/>
    <w:rsid w:val="007B2F25"/>
    <w:rsid w:val="007B3B8D"/>
    <w:rsid w:val="007B43DF"/>
    <w:rsid w:val="007B4C1C"/>
    <w:rsid w:val="007B4F50"/>
    <w:rsid w:val="007B50BE"/>
    <w:rsid w:val="007B58B1"/>
    <w:rsid w:val="007B5CBD"/>
    <w:rsid w:val="007B6607"/>
    <w:rsid w:val="007B72B2"/>
    <w:rsid w:val="007B735E"/>
    <w:rsid w:val="007B7F5A"/>
    <w:rsid w:val="007C02AF"/>
    <w:rsid w:val="007C1332"/>
    <w:rsid w:val="007C16BC"/>
    <w:rsid w:val="007C18BF"/>
    <w:rsid w:val="007C2581"/>
    <w:rsid w:val="007C27EF"/>
    <w:rsid w:val="007C2931"/>
    <w:rsid w:val="007C2E4F"/>
    <w:rsid w:val="007C32C5"/>
    <w:rsid w:val="007C372B"/>
    <w:rsid w:val="007C52EA"/>
    <w:rsid w:val="007C5387"/>
    <w:rsid w:val="007C67D6"/>
    <w:rsid w:val="007C6D7E"/>
    <w:rsid w:val="007C775C"/>
    <w:rsid w:val="007C7A52"/>
    <w:rsid w:val="007C7C20"/>
    <w:rsid w:val="007D0F24"/>
    <w:rsid w:val="007D1402"/>
    <w:rsid w:val="007D1692"/>
    <w:rsid w:val="007D2ED4"/>
    <w:rsid w:val="007D32EC"/>
    <w:rsid w:val="007D376B"/>
    <w:rsid w:val="007D475A"/>
    <w:rsid w:val="007D4F15"/>
    <w:rsid w:val="007D5106"/>
    <w:rsid w:val="007D5625"/>
    <w:rsid w:val="007D6375"/>
    <w:rsid w:val="007D685F"/>
    <w:rsid w:val="007D7450"/>
    <w:rsid w:val="007D7570"/>
    <w:rsid w:val="007D7650"/>
    <w:rsid w:val="007E0531"/>
    <w:rsid w:val="007E14FB"/>
    <w:rsid w:val="007E1A4F"/>
    <w:rsid w:val="007E1E9F"/>
    <w:rsid w:val="007E1EE0"/>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2173"/>
    <w:rsid w:val="00824E56"/>
    <w:rsid w:val="00826550"/>
    <w:rsid w:val="0082750D"/>
    <w:rsid w:val="00827CC3"/>
    <w:rsid w:val="008304EC"/>
    <w:rsid w:val="00830BBE"/>
    <w:rsid w:val="00831200"/>
    <w:rsid w:val="008316D5"/>
    <w:rsid w:val="00831989"/>
    <w:rsid w:val="00831AFC"/>
    <w:rsid w:val="0083315B"/>
    <w:rsid w:val="00833CDB"/>
    <w:rsid w:val="00834A7A"/>
    <w:rsid w:val="00835294"/>
    <w:rsid w:val="00836C04"/>
    <w:rsid w:val="00836FD4"/>
    <w:rsid w:val="008376B3"/>
    <w:rsid w:val="0083773A"/>
    <w:rsid w:val="00837D47"/>
    <w:rsid w:val="00837E30"/>
    <w:rsid w:val="00841A33"/>
    <w:rsid w:val="00842902"/>
    <w:rsid w:val="00847023"/>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5A65"/>
    <w:rsid w:val="00886A5D"/>
    <w:rsid w:val="00886AD0"/>
    <w:rsid w:val="008875DC"/>
    <w:rsid w:val="0089038E"/>
    <w:rsid w:val="008904AD"/>
    <w:rsid w:val="00891AF0"/>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3E9B"/>
    <w:rsid w:val="008B4C82"/>
    <w:rsid w:val="008B60BD"/>
    <w:rsid w:val="008B6B2A"/>
    <w:rsid w:val="008B7013"/>
    <w:rsid w:val="008B7895"/>
    <w:rsid w:val="008C186E"/>
    <w:rsid w:val="008C28B7"/>
    <w:rsid w:val="008C2C3F"/>
    <w:rsid w:val="008C3145"/>
    <w:rsid w:val="008C4646"/>
    <w:rsid w:val="008C4815"/>
    <w:rsid w:val="008C4CC6"/>
    <w:rsid w:val="008C4F81"/>
    <w:rsid w:val="008C522C"/>
    <w:rsid w:val="008C52EE"/>
    <w:rsid w:val="008C571E"/>
    <w:rsid w:val="008C70C7"/>
    <w:rsid w:val="008C772E"/>
    <w:rsid w:val="008C79B2"/>
    <w:rsid w:val="008C7C0B"/>
    <w:rsid w:val="008C7CE1"/>
    <w:rsid w:val="008D067B"/>
    <w:rsid w:val="008D1225"/>
    <w:rsid w:val="008D1D0E"/>
    <w:rsid w:val="008D1E7F"/>
    <w:rsid w:val="008D1F15"/>
    <w:rsid w:val="008D1F2B"/>
    <w:rsid w:val="008D3365"/>
    <w:rsid w:val="008D39D7"/>
    <w:rsid w:val="008D3B96"/>
    <w:rsid w:val="008D5210"/>
    <w:rsid w:val="008D5FC4"/>
    <w:rsid w:val="008D6416"/>
    <w:rsid w:val="008D652C"/>
    <w:rsid w:val="008D7F6B"/>
    <w:rsid w:val="008E05E9"/>
    <w:rsid w:val="008E0D37"/>
    <w:rsid w:val="008E2D53"/>
    <w:rsid w:val="008E4467"/>
    <w:rsid w:val="008E4B65"/>
    <w:rsid w:val="008E4CD7"/>
    <w:rsid w:val="008E58FC"/>
    <w:rsid w:val="008E641D"/>
    <w:rsid w:val="008E64DA"/>
    <w:rsid w:val="008E660D"/>
    <w:rsid w:val="008E66E5"/>
    <w:rsid w:val="008E7DD4"/>
    <w:rsid w:val="008F041A"/>
    <w:rsid w:val="008F056F"/>
    <w:rsid w:val="008F137D"/>
    <w:rsid w:val="008F21C1"/>
    <w:rsid w:val="008F305A"/>
    <w:rsid w:val="008F3154"/>
    <w:rsid w:val="008F3465"/>
    <w:rsid w:val="008F3512"/>
    <w:rsid w:val="008F371C"/>
    <w:rsid w:val="008F3D5F"/>
    <w:rsid w:val="008F438E"/>
    <w:rsid w:val="008F66BA"/>
    <w:rsid w:val="008F718D"/>
    <w:rsid w:val="008F7D54"/>
    <w:rsid w:val="008F7DD2"/>
    <w:rsid w:val="009004F9"/>
    <w:rsid w:val="0090344A"/>
    <w:rsid w:val="0090349F"/>
    <w:rsid w:val="0090383C"/>
    <w:rsid w:val="00904041"/>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6673"/>
    <w:rsid w:val="00926FCA"/>
    <w:rsid w:val="009271A2"/>
    <w:rsid w:val="0093027F"/>
    <w:rsid w:val="0093151B"/>
    <w:rsid w:val="00931738"/>
    <w:rsid w:val="009319FC"/>
    <w:rsid w:val="00931B31"/>
    <w:rsid w:val="009325AE"/>
    <w:rsid w:val="00932FDF"/>
    <w:rsid w:val="009346E0"/>
    <w:rsid w:val="009349B5"/>
    <w:rsid w:val="0093602A"/>
    <w:rsid w:val="00940001"/>
    <w:rsid w:val="00940224"/>
    <w:rsid w:val="009402E0"/>
    <w:rsid w:val="009425A7"/>
    <w:rsid w:val="0094265B"/>
    <w:rsid w:val="00942CF7"/>
    <w:rsid w:val="00942E4C"/>
    <w:rsid w:val="009436C2"/>
    <w:rsid w:val="00944900"/>
    <w:rsid w:val="00944C91"/>
    <w:rsid w:val="00944EA3"/>
    <w:rsid w:val="0094583D"/>
    <w:rsid w:val="00945BCE"/>
    <w:rsid w:val="009466DD"/>
    <w:rsid w:val="009474C1"/>
    <w:rsid w:val="00950947"/>
    <w:rsid w:val="009509BD"/>
    <w:rsid w:val="00950C0B"/>
    <w:rsid w:val="00951984"/>
    <w:rsid w:val="00952732"/>
    <w:rsid w:val="0095439B"/>
    <w:rsid w:val="00954EC8"/>
    <w:rsid w:val="009553FC"/>
    <w:rsid w:val="009554DD"/>
    <w:rsid w:val="00956136"/>
    <w:rsid w:val="0095681C"/>
    <w:rsid w:val="00957E5D"/>
    <w:rsid w:val="0096009C"/>
    <w:rsid w:val="009624C2"/>
    <w:rsid w:val="0096374D"/>
    <w:rsid w:val="00966DA4"/>
    <w:rsid w:val="00966FBB"/>
    <w:rsid w:val="00970201"/>
    <w:rsid w:val="00971402"/>
    <w:rsid w:val="00971744"/>
    <w:rsid w:val="00971830"/>
    <w:rsid w:val="00971A5A"/>
    <w:rsid w:val="00972C2E"/>
    <w:rsid w:val="00972EB6"/>
    <w:rsid w:val="0097707B"/>
    <w:rsid w:val="009774AE"/>
    <w:rsid w:val="00980A15"/>
    <w:rsid w:val="00980C9E"/>
    <w:rsid w:val="009846CF"/>
    <w:rsid w:val="00984BF8"/>
    <w:rsid w:val="009850BA"/>
    <w:rsid w:val="00985D75"/>
    <w:rsid w:val="00986146"/>
    <w:rsid w:val="009863DC"/>
    <w:rsid w:val="00986AD3"/>
    <w:rsid w:val="00987534"/>
    <w:rsid w:val="00990E20"/>
    <w:rsid w:val="00990ED9"/>
    <w:rsid w:val="00992514"/>
    <w:rsid w:val="00992888"/>
    <w:rsid w:val="00992AA9"/>
    <w:rsid w:val="009947F1"/>
    <w:rsid w:val="009949CE"/>
    <w:rsid w:val="00994F03"/>
    <w:rsid w:val="009972B4"/>
    <w:rsid w:val="009A01F1"/>
    <w:rsid w:val="009A045C"/>
    <w:rsid w:val="009A081F"/>
    <w:rsid w:val="009A0EB3"/>
    <w:rsid w:val="009A0F19"/>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4A70"/>
    <w:rsid w:val="009B5848"/>
    <w:rsid w:val="009B6103"/>
    <w:rsid w:val="009B6310"/>
    <w:rsid w:val="009B6431"/>
    <w:rsid w:val="009B64AA"/>
    <w:rsid w:val="009B6859"/>
    <w:rsid w:val="009B68BC"/>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C7CB5"/>
    <w:rsid w:val="009D18C6"/>
    <w:rsid w:val="009D1DA9"/>
    <w:rsid w:val="009D3922"/>
    <w:rsid w:val="009D4471"/>
    <w:rsid w:val="009D4775"/>
    <w:rsid w:val="009D4AE0"/>
    <w:rsid w:val="009D56BB"/>
    <w:rsid w:val="009D5D54"/>
    <w:rsid w:val="009D6DFE"/>
    <w:rsid w:val="009D771F"/>
    <w:rsid w:val="009E191B"/>
    <w:rsid w:val="009E2771"/>
    <w:rsid w:val="009E322F"/>
    <w:rsid w:val="009E4300"/>
    <w:rsid w:val="009E4DF6"/>
    <w:rsid w:val="009E58C7"/>
    <w:rsid w:val="009E6012"/>
    <w:rsid w:val="009E6334"/>
    <w:rsid w:val="009E65D5"/>
    <w:rsid w:val="009E6E52"/>
    <w:rsid w:val="009E7251"/>
    <w:rsid w:val="009E7A57"/>
    <w:rsid w:val="009E7EE6"/>
    <w:rsid w:val="009F1542"/>
    <w:rsid w:val="009F1734"/>
    <w:rsid w:val="009F1815"/>
    <w:rsid w:val="009F2E83"/>
    <w:rsid w:val="009F3B03"/>
    <w:rsid w:val="009F4E51"/>
    <w:rsid w:val="009F652E"/>
    <w:rsid w:val="009F669E"/>
    <w:rsid w:val="009F6C96"/>
    <w:rsid w:val="009F6ED1"/>
    <w:rsid w:val="009F7467"/>
    <w:rsid w:val="00A00155"/>
    <w:rsid w:val="00A01043"/>
    <w:rsid w:val="00A0126B"/>
    <w:rsid w:val="00A01720"/>
    <w:rsid w:val="00A02454"/>
    <w:rsid w:val="00A02548"/>
    <w:rsid w:val="00A02D52"/>
    <w:rsid w:val="00A03A7D"/>
    <w:rsid w:val="00A03B4A"/>
    <w:rsid w:val="00A03DD4"/>
    <w:rsid w:val="00A048CA"/>
    <w:rsid w:val="00A04AA5"/>
    <w:rsid w:val="00A05507"/>
    <w:rsid w:val="00A072C1"/>
    <w:rsid w:val="00A07B14"/>
    <w:rsid w:val="00A113B3"/>
    <w:rsid w:val="00A11694"/>
    <w:rsid w:val="00A12A17"/>
    <w:rsid w:val="00A12F12"/>
    <w:rsid w:val="00A134B2"/>
    <w:rsid w:val="00A139E6"/>
    <w:rsid w:val="00A13AE9"/>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1B8"/>
    <w:rsid w:val="00A33C7F"/>
    <w:rsid w:val="00A33FE0"/>
    <w:rsid w:val="00A35768"/>
    <w:rsid w:val="00A36146"/>
    <w:rsid w:val="00A36D05"/>
    <w:rsid w:val="00A377EF"/>
    <w:rsid w:val="00A379E0"/>
    <w:rsid w:val="00A4117D"/>
    <w:rsid w:val="00A42017"/>
    <w:rsid w:val="00A4272C"/>
    <w:rsid w:val="00A428EA"/>
    <w:rsid w:val="00A429C0"/>
    <w:rsid w:val="00A43172"/>
    <w:rsid w:val="00A43A0C"/>
    <w:rsid w:val="00A43A21"/>
    <w:rsid w:val="00A43B00"/>
    <w:rsid w:val="00A446B7"/>
    <w:rsid w:val="00A45306"/>
    <w:rsid w:val="00A45A73"/>
    <w:rsid w:val="00A46106"/>
    <w:rsid w:val="00A47E87"/>
    <w:rsid w:val="00A47ED7"/>
    <w:rsid w:val="00A47F97"/>
    <w:rsid w:val="00A5258C"/>
    <w:rsid w:val="00A526BF"/>
    <w:rsid w:val="00A538EB"/>
    <w:rsid w:val="00A541BE"/>
    <w:rsid w:val="00A5593E"/>
    <w:rsid w:val="00A57180"/>
    <w:rsid w:val="00A6060F"/>
    <w:rsid w:val="00A60BE4"/>
    <w:rsid w:val="00A6169A"/>
    <w:rsid w:val="00A628ED"/>
    <w:rsid w:val="00A6319C"/>
    <w:rsid w:val="00A64011"/>
    <w:rsid w:val="00A645D7"/>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33"/>
    <w:rsid w:val="00A763B2"/>
    <w:rsid w:val="00A77112"/>
    <w:rsid w:val="00A77A56"/>
    <w:rsid w:val="00A80438"/>
    <w:rsid w:val="00A818B5"/>
    <w:rsid w:val="00A81BA4"/>
    <w:rsid w:val="00A824FF"/>
    <w:rsid w:val="00A82EC3"/>
    <w:rsid w:val="00A82FDB"/>
    <w:rsid w:val="00A839BC"/>
    <w:rsid w:val="00A841EE"/>
    <w:rsid w:val="00A843ED"/>
    <w:rsid w:val="00A85A0C"/>
    <w:rsid w:val="00A866D6"/>
    <w:rsid w:val="00A867D8"/>
    <w:rsid w:val="00A87248"/>
    <w:rsid w:val="00A90878"/>
    <w:rsid w:val="00A9179C"/>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7A9"/>
    <w:rsid w:val="00AB1985"/>
    <w:rsid w:val="00AB1FF4"/>
    <w:rsid w:val="00AB3527"/>
    <w:rsid w:val="00AB38CA"/>
    <w:rsid w:val="00AB511C"/>
    <w:rsid w:val="00AB60E2"/>
    <w:rsid w:val="00AB6456"/>
    <w:rsid w:val="00AB6AEF"/>
    <w:rsid w:val="00AB7107"/>
    <w:rsid w:val="00AB7139"/>
    <w:rsid w:val="00AB7C34"/>
    <w:rsid w:val="00AC14D1"/>
    <w:rsid w:val="00AC22A0"/>
    <w:rsid w:val="00AC244F"/>
    <w:rsid w:val="00AC392D"/>
    <w:rsid w:val="00AC3C2E"/>
    <w:rsid w:val="00AC488B"/>
    <w:rsid w:val="00AC4CC9"/>
    <w:rsid w:val="00AC5D60"/>
    <w:rsid w:val="00AC6957"/>
    <w:rsid w:val="00AC76F5"/>
    <w:rsid w:val="00AD0C19"/>
    <w:rsid w:val="00AD2869"/>
    <w:rsid w:val="00AD2B96"/>
    <w:rsid w:val="00AD478B"/>
    <w:rsid w:val="00AD5A34"/>
    <w:rsid w:val="00AD5F18"/>
    <w:rsid w:val="00AE0F11"/>
    <w:rsid w:val="00AE18BE"/>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6BDD"/>
    <w:rsid w:val="00AF7523"/>
    <w:rsid w:val="00B018BC"/>
    <w:rsid w:val="00B0260E"/>
    <w:rsid w:val="00B02A35"/>
    <w:rsid w:val="00B04C55"/>
    <w:rsid w:val="00B05581"/>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904"/>
    <w:rsid w:val="00B26EA4"/>
    <w:rsid w:val="00B35742"/>
    <w:rsid w:val="00B35D64"/>
    <w:rsid w:val="00B3628F"/>
    <w:rsid w:val="00B36379"/>
    <w:rsid w:val="00B363FB"/>
    <w:rsid w:val="00B364E8"/>
    <w:rsid w:val="00B372D9"/>
    <w:rsid w:val="00B37E5E"/>
    <w:rsid w:val="00B407F7"/>
    <w:rsid w:val="00B40CCB"/>
    <w:rsid w:val="00B4197D"/>
    <w:rsid w:val="00B41CF3"/>
    <w:rsid w:val="00B42A7F"/>
    <w:rsid w:val="00B42B1C"/>
    <w:rsid w:val="00B43812"/>
    <w:rsid w:val="00B43842"/>
    <w:rsid w:val="00B43F5D"/>
    <w:rsid w:val="00B44032"/>
    <w:rsid w:val="00B45E12"/>
    <w:rsid w:val="00B468AF"/>
    <w:rsid w:val="00B519C5"/>
    <w:rsid w:val="00B51B78"/>
    <w:rsid w:val="00B522A6"/>
    <w:rsid w:val="00B528CF"/>
    <w:rsid w:val="00B53C22"/>
    <w:rsid w:val="00B53F3F"/>
    <w:rsid w:val="00B540E7"/>
    <w:rsid w:val="00B541B9"/>
    <w:rsid w:val="00B5431D"/>
    <w:rsid w:val="00B54834"/>
    <w:rsid w:val="00B55791"/>
    <w:rsid w:val="00B55BBD"/>
    <w:rsid w:val="00B56AC9"/>
    <w:rsid w:val="00B600D9"/>
    <w:rsid w:val="00B61465"/>
    <w:rsid w:val="00B6397D"/>
    <w:rsid w:val="00B6405A"/>
    <w:rsid w:val="00B64466"/>
    <w:rsid w:val="00B6467C"/>
    <w:rsid w:val="00B653BC"/>
    <w:rsid w:val="00B65763"/>
    <w:rsid w:val="00B66AB4"/>
    <w:rsid w:val="00B67AC9"/>
    <w:rsid w:val="00B67CFF"/>
    <w:rsid w:val="00B7003F"/>
    <w:rsid w:val="00B7072F"/>
    <w:rsid w:val="00B726BD"/>
    <w:rsid w:val="00B72966"/>
    <w:rsid w:val="00B745B1"/>
    <w:rsid w:val="00B77A7D"/>
    <w:rsid w:val="00B77D1D"/>
    <w:rsid w:val="00B80104"/>
    <w:rsid w:val="00B805E4"/>
    <w:rsid w:val="00B80DAE"/>
    <w:rsid w:val="00B811D6"/>
    <w:rsid w:val="00B814E7"/>
    <w:rsid w:val="00B82039"/>
    <w:rsid w:val="00B82698"/>
    <w:rsid w:val="00B8272E"/>
    <w:rsid w:val="00B833BF"/>
    <w:rsid w:val="00B84302"/>
    <w:rsid w:val="00B84B85"/>
    <w:rsid w:val="00B84C76"/>
    <w:rsid w:val="00B84DDC"/>
    <w:rsid w:val="00B853DA"/>
    <w:rsid w:val="00B86576"/>
    <w:rsid w:val="00B86DCD"/>
    <w:rsid w:val="00B876A5"/>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3433"/>
    <w:rsid w:val="00BC4B77"/>
    <w:rsid w:val="00BC4EB6"/>
    <w:rsid w:val="00BC4FB5"/>
    <w:rsid w:val="00BC7F8B"/>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0292"/>
    <w:rsid w:val="00BE10DD"/>
    <w:rsid w:val="00BE1824"/>
    <w:rsid w:val="00BE1CFC"/>
    <w:rsid w:val="00BE3B85"/>
    <w:rsid w:val="00BE423B"/>
    <w:rsid w:val="00BE465C"/>
    <w:rsid w:val="00BE4990"/>
    <w:rsid w:val="00BE7015"/>
    <w:rsid w:val="00BE7D0B"/>
    <w:rsid w:val="00BF30BE"/>
    <w:rsid w:val="00BF3810"/>
    <w:rsid w:val="00BF4273"/>
    <w:rsid w:val="00BF4419"/>
    <w:rsid w:val="00BF447E"/>
    <w:rsid w:val="00BF567D"/>
    <w:rsid w:val="00BF6DB1"/>
    <w:rsid w:val="00C01755"/>
    <w:rsid w:val="00C027BF"/>
    <w:rsid w:val="00C036D9"/>
    <w:rsid w:val="00C05723"/>
    <w:rsid w:val="00C06DC6"/>
    <w:rsid w:val="00C1009A"/>
    <w:rsid w:val="00C10135"/>
    <w:rsid w:val="00C103AF"/>
    <w:rsid w:val="00C10A3C"/>
    <w:rsid w:val="00C10AB7"/>
    <w:rsid w:val="00C1124D"/>
    <w:rsid w:val="00C118B3"/>
    <w:rsid w:val="00C122C6"/>
    <w:rsid w:val="00C133E4"/>
    <w:rsid w:val="00C133E7"/>
    <w:rsid w:val="00C13BE5"/>
    <w:rsid w:val="00C15A80"/>
    <w:rsid w:val="00C16962"/>
    <w:rsid w:val="00C16C27"/>
    <w:rsid w:val="00C16DD6"/>
    <w:rsid w:val="00C1753B"/>
    <w:rsid w:val="00C20017"/>
    <w:rsid w:val="00C20615"/>
    <w:rsid w:val="00C21F0D"/>
    <w:rsid w:val="00C22B47"/>
    <w:rsid w:val="00C22F62"/>
    <w:rsid w:val="00C23589"/>
    <w:rsid w:val="00C24C68"/>
    <w:rsid w:val="00C24F14"/>
    <w:rsid w:val="00C251B7"/>
    <w:rsid w:val="00C256D7"/>
    <w:rsid w:val="00C26372"/>
    <w:rsid w:val="00C26BF6"/>
    <w:rsid w:val="00C27038"/>
    <w:rsid w:val="00C30349"/>
    <w:rsid w:val="00C31BA5"/>
    <w:rsid w:val="00C3214A"/>
    <w:rsid w:val="00C32AA5"/>
    <w:rsid w:val="00C33426"/>
    <w:rsid w:val="00C34633"/>
    <w:rsid w:val="00C349E8"/>
    <w:rsid w:val="00C352EC"/>
    <w:rsid w:val="00C35459"/>
    <w:rsid w:val="00C36621"/>
    <w:rsid w:val="00C40F2B"/>
    <w:rsid w:val="00C42257"/>
    <w:rsid w:val="00C4247A"/>
    <w:rsid w:val="00C42505"/>
    <w:rsid w:val="00C4396C"/>
    <w:rsid w:val="00C44691"/>
    <w:rsid w:val="00C4512E"/>
    <w:rsid w:val="00C46101"/>
    <w:rsid w:val="00C46231"/>
    <w:rsid w:val="00C46887"/>
    <w:rsid w:val="00C47F3D"/>
    <w:rsid w:val="00C52552"/>
    <w:rsid w:val="00C5255D"/>
    <w:rsid w:val="00C5270F"/>
    <w:rsid w:val="00C53BC6"/>
    <w:rsid w:val="00C54416"/>
    <w:rsid w:val="00C54DA6"/>
    <w:rsid w:val="00C55787"/>
    <w:rsid w:val="00C57059"/>
    <w:rsid w:val="00C609A5"/>
    <w:rsid w:val="00C61F15"/>
    <w:rsid w:val="00C620F4"/>
    <w:rsid w:val="00C62769"/>
    <w:rsid w:val="00C632A2"/>
    <w:rsid w:val="00C6374C"/>
    <w:rsid w:val="00C64A64"/>
    <w:rsid w:val="00C64FC7"/>
    <w:rsid w:val="00C654B8"/>
    <w:rsid w:val="00C655A8"/>
    <w:rsid w:val="00C660A0"/>
    <w:rsid w:val="00C66134"/>
    <w:rsid w:val="00C66464"/>
    <w:rsid w:val="00C702D6"/>
    <w:rsid w:val="00C70BDA"/>
    <w:rsid w:val="00C723F9"/>
    <w:rsid w:val="00C72BCD"/>
    <w:rsid w:val="00C73845"/>
    <w:rsid w:val="00C73A0A"/>
    <w:rsid w:val="00C763D3"/>
    <w:rsid w:val="00C76904"/>
    <w:rsid w:val="00C7765B"/>
    <w:rsid w:val="00C77983"/>
    <w:rsid w:val="00C779E3"/>
    <w:rsid w:val="00C80B59"/>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400"/>
    <w:rsid w:val="00CA6C44"/>
    <w:rsid w:val="00CA6DD5"/>
    <w:rsid w:val="00CA7170"/>
    <w:rsid w:val="00CA738A"/>
    <w:rsid w:val="00CA7753"/>
    <w:rsid w:val="00CA7E0E"/>
    <w:rsid w:val="00CB06AB"/>
    <w:rsid w:val="00CB0E75"/>
    <w:rsid w:val="00CB116D"/>
    <w:rsid w:val="00CB1504"/>
    <w:rsid w:val="00CB2742"/>
    <w:rsid w:val="00CB307D"/>
    <w:rsid w:val="00CB36B3"/>
    <w:rsid w:val="00CB387F"/>
    <w:rsid w:val="00CB5F69"/>
    <w:rsid w:val="00CB763B"/>
    <w:rsid w:val="00CC08EE"/>
    <w:rsid w:val="00CC08F1"/>
    <w:rsid w:val="00CC0C2F"/>
    <w:rsid w:val="00CC1B54"/>
    <w:rsid w:val="00CC320A"/>
    <w:rsid w:val="00CC56F4"/>
    <w:rsid w:val="00CC5B2C"/>
    <w:rsid w:val="00CC627C"/>
    <w:rsid w:val="00CC662B"/>
    <w:rsid w:val="00CC6AD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0A9B"/>
    <w:rsid w:val="00CE1721"/>
    <w:rsid w:val="00CE2E5E"/>
    <w:rsid w:val="00CE3670"/>
    <w:rsid w:val="00CE3F98"/>
    <w:rsid w:val="00CE4665"/>
    <w:rsid w:val="00CE4A4A"/>
    <w:rsid w:val="00CE4B31"/>
    <w:rsid w:val="00CE57A6"/>
    <w:rsid w:val="00CE5886"/>
    <w:rsid w:val="00CE67FD"/>
    <w:rsid w:val="00CE701B"/>
    <w:rsid w:val="00CE7331"/>
    <w:rsid w:val="00CE7473"/>
    <w:rsid w:val="00CF0732"/>
    <w:rsid w:val="00CF1126"/>
    <w:rsid w:val="00CF24AD"/>
    <w:rsid w:val="00CF2FEF"/>
    <w:rsid w:val="00CF308E"/>
    <w:rsid w:val="00CF4273"/>
    <w:rsid w:val="00CF49C3"/>
    <w:rsid w:val="00CF5FBE"/>
    <w:rsid w:val="00CF6275"/>
    <w:rsid w:val="00CF7606"/>
    <w:rsid w:val="00CF77D6"/>
    <w:rsid w:val="00D00889"/>
    <w:rsid w:val="00D01238"/>
    <w:rsid w:val="00D01E89"/>
    <w:rsid w:val="00D0202D"/>
    <w:rsid w:val="00D028C3"/>
    <w:rsid w:val="00D03781"/>
    <w:rsid w:val="00D0385D"/>
    <w:rsid w:val="00D0450A"/>
    <w:rsid w:val="00D062B9"/>
    <w:rsid w:val="00D065DA"/>
    <w:rsid w:val="00D06E1E"/>
    <w:rsid w:val="00D1018B"/>
    <w:rsid w:val="00D10A04"/>
    <w:rsid w:val="00D128D7"/>
    <w:rsid w:val="00D131E9"/>
    <w:rsid w:val="00D1471A"/>
    <w:rsid w:val="00D152D9"/>
    <w:rsid w:val="00D15BC3"/>
    <w:rsid w:val="00D16328"/>
    <w:rsid w:val="00D1692E"/>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3F7C"/>
    <w:rsid w:val="00D34976"/>
    <w:rsid w:val="00D35EDA"/>
    <w:rsid w:val="00D36D16"/>
    <w:rsid w:val="00D379DA"/>
    <w:rsid w:val="00D41955"/>
    <w:rsid w:val="00D41CEF"/>
    <w:rsid w:val="00D41F15"/>
    <w:rsid w:val="00D428DD"/>
    <w:rsid w:val="00D42A9B"/>
    <w:rsid w:val="00D436B0"/>
    <w:rsid w:val="00D43EC5"/>
    <w:rsid w:val="00D44378"/>
    <w:rsid w:val="00D44C7A"/>
    <w:rsid w:val="00D44E9F"/>
    <w:rsid w:val="00D46528"/>
    <w:rsid w:val="00D47ADA"/>
    <w:rsid w:val="00D47EDA"/>
    <w:rsid w:val="00D507E7"/>
    <w:rsid w:val="00D50FD9"/>
    <w:rsid w:val="00D516BE"/>
    <w:rsid w:val="00D521CB"/>
    <w:rsid w:val="00D52596"/>
    <w:rsid w:val="00D53811"/>
    <w:rsid w:val="00D53DAE"/>
    <w:rsid w:val="00D543C1"/>
    <w:rsid w:val="00D54667"/>
    <w:rsid w:val="00D54699"/>
    <w:rsid w:val="00D5516F"/>
    <w:rsid w:val="00D554B6"/>
    <w:rsid w:val="00D562A2"/>
    <w:rsid w:val="00D564A7"/>
    <w:rsid w:val="00D566D4"/>
    <w:rsid w:val="00D604C1"/>
    <w:rsid w:val="00D62698"/>
    <w:rsid w:val="00D62831"/>
    <w:rsid w:val="00D62DC1"/>
    <w:rsid w:val="00D641AA"/>
    <w:rsid w:val="00D64AD2"/>
    <w:rsid w:val="00D656D2"/>
    <w:rsid w:val="00D65F6E"/>
    <w:rsid w:val="00D66B3E"/>
    <w:rsid w:val="00D702D2"/>
    <w:rsid w:val="00D7034F"/>
    <w:rsid w:val="00D70AD3"/>
    <w:rsid w:val="00D70DF4"/>
    <w:rsid w:val="00D71A09"/>
    <w:rsid w:val="00D71FD0"/>
    <w:rsid w:val="00D72D6A"/>
    <w:rsid w:val="00D73337"/>
    <w:rsid w:val="00D733A1"/>
    <w:rsid w:val="00D74300"/>
    <w:rsid w:val="00D75A3C"/>
    <w:rsid w:val="00D76680"/>
    <w:rsid w:val="00D802C2"/>
    <w:rsid w:val="00D80350"/>
    <w:rsid w:val="00D803BC"/>
    <w:rsid w:val="00D80A78"/>
    <w:rsid w:val="00D81D55"/>
    <w:rsid w:val="00D81F28"/>
    <w:rsid w:val="00D8236F"/>
    <w:rsid w:val="00D8253A"/>
    <w:rsid w:val="00D82FC4"/>
    <w:rsid w:val="00D83FF9"/>
    <w:rsid w:val="00D849C0"/>
    <w:rsid w:val="00D84CCA"/>
    <w:rsid w:val="00D84DBD"/>
    <w:rsid w:val="00D85988"/>
    <w:rsid w:val="00D860A8"/>
    <w:rsid w:val="00D86166"/>
    <w:rsid w:val="00D86C8B"/>
    <w:rsid w:val="00D8737F"/>
    <w:rsid w:val="00D87764"/>
    <w:rsid w:val="00D87E25"/>
    <w:rsid w:val="00D90E79"/>
    <w:rsid w:val="00D92B64"/>
    <w:rsid w:val="00D92E72"/>
    <w:rsid w:val="00D934CE"/>
    <w:rsid w:val="00D93567"/>
    <w:rsid w:val="00D93E39"/>
    <w:rsid w:val="00D940CE"/>
    <w:rsid w:val="00D94C20"/>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4416"/>
    <w:rsid w:val="00DB5405"/>
    <w:rsid w:val="00DB548B"/>
    <w:rsid w:val="00DB59BA"/>
    <w:rsid w:val="00DB689E"/>
    <w:rsid w:val="00DB751D"/>
    <w:rsid w:val="00DC0491"/>
    <w:rsid w:val="00DC09E2"/>
    <w:rsid w:val="00DC1E68"/>
    <w:rsid w:val="00DC22FE"/>
    <w:rsid w:val="00DC23E3"/>
    <w:rsid w:val="00DC3596"/>
    <w:rsid w:val="00DC5559"/>
    <w:rsid w:val="00DC5BE7"/>
    <w:rsid w:val="00DC5EAF"/>
    <w:rsid w:val="00DD19FE"/>
    <w:rsid w:val="00DD1A9A"/>
    <w:rsid w:val="00DD203D"/>
    <w:rsid w:val="00DD216E"/>
    <w:rsid w:val="00DD2D22"/>
    <w:rsid w:val="00DD463B"/>
    <w:rsid w:val="00DD5E88"/>
    <w:rsid w:val="00DD6531"/>
    <w:rsid w:val="00DD68D0"/>
    <w:rsid w:val="00DD7BA3"/>
    <w:rsid w:val="00DE0003"/>
    <w:rsid w:val="00DE0119"/>
    <w:rsid w:val="00DE05C2"/>
    <w:rsid w:val="00DE0E79"/>
    <w:rsid w:val="00DE1CCB"/>
    <w:rsid w:val="00DE25B1"/>
    <w:rsid w:val="00DE2AF3"/>
    <w:rsid w:val="00DE33BF"/>
    <w:rsid w:val="00DE3591"/>
    <w:rsid w:val="00DE4335"/>
    <w:rsid w:val="00DE47CC"/>
    <w:rsid w:val="00DE4B3D"/>
    <w:rsid w:val="00DE65CE"/>
    <w:rsid w:val="00DE7027"/>
    <w:rsid w:val="00DE7B3D"/>
    <w:rsid w:val="00DF252D"/>
    <w:rsid w:val="00DF2C51"/>
    <w:rsid w:val="00DF4282"/>
    <w:rsid w:val="00DF4DB1"/>
    <w:rsid w:val="00DF4F75"/>
    <w:rsid w:val="00DF50CC"/>
    <w:rsid w:val="00DF61AF"/>
    <w:rsid w:val="00DF6F41"/>
    <w:rsid w:val="00DF79C0"/>
    <w:rsid w:val="00DF7E39"/>
    <w:rsid w:val="00E00787"/>
    <w:rsid w:val="00E00B96"/>
    <w:rsid w:val="00E010D2"/>
    <w:rsid w:val="00E01CC1"/>
    <w:rsid w:val="00E021D8"/>
    <w:rsid w:val="00E0264D"/>
    <w:rsid w:val="00E03B3D"/>
    <w:rsid w:val="00E04240"/>
    <w:rsid w:val="00E05C6B"/>
    <w:rsid w:val="00E07645"/>
    <w:rsid w:val="00E10739"/>
    <w:rsid w:val="00E10C48"/>
    <w:rsid w:val="00E10EB8"/>
    <w:rsid w:val="00E11027"/>
    <w:rsid w:val="00E118E0"/>
    <w:rsid w:val="00E12966"/>
    <w:rsid w:val="00E129DE"/>
    <w:rsid w:val="00E132C4"/>
    <w:rsid w:val="00E13C8B"/>
    <w:rsid w:val="00E14292"/>
    <w:rsid w:val="00E14BDC"/>
    <w:rsid w:val="00E14E4F"/>
    <w:rsid w:val="00E150CB"/>
    <w:rsid w:val="00E15476"/>
    <w:rsid w:val="00E15592"/>
    <w:rsid w:val="00E1563B"/>
    <w:rsid w:val="00E15721"/>
    <w:rsid w:val="00E15C7D"/>
    <w:rsid w:val="00E15ED5"/>
    <w:rsid w:val="00E16038"/>
    <w:rsid w:val="00E16041"/>
    <w:rsid w:val="00E1621C"/>
    <w:rsid w:val="00E1633B"/>
    <w:rsid w:val="00E167E1"/>
    <w:rsid w:val="00E17832"/>
    <w:rsid w:val="00E213CE"/>
    <w:rsid w:val="00E21C48"/>
    <w:rsid w:val="00E22044"/>
    <w:rsid w:val="00E23764"/>
    <w:rsid w:val="00E24D5D"/>
    <w:rsid w:val="00E25497"/>
    <w:rsid w:val="00E25BD9"/>
    <w:rsid w:val="00E26147"/>
    <w:rsid w:val="00E263F0"/>
    <w:rsid w:val="00E2730C"/>
    <w:rsid w:val="00E3101C"/>
    <w:rsid w:val="00E31310"/>
    <w:rsid w:val="00E32479"/>
    <w:rsid w:val="00E324A0"/>
    <w:rsid w:val="00E32E2A"/>
    <w:rsid w:val="00E3342C"/>
    <w:rsid w:val="00E344DD"/>
    <w:rsid w:val="00E34D03"/>
    <w:rsid w:val="00E35D00"/>
    <w:rsid w:val="00E363E2"/>
    <w:rsid w:val="00E3666B"/>
    <w:rsid w:val="00E36952"/>
    <w:rsid w:val="00E36DE6"/>
    <w:rsid w:val="00E372B5"/>
    <w:rsid w:val="00E37C9E"/>
    <w:rsid w:val="00E40337"/>
    <w:rsid w:val="00E40635"/>
    <w:rsid w:val="00E4173E"/>
    <w:rsid w:val="00E41BE8"/>
    <w:rsid w:val="00E41D55"/>
    <w:rsid w:val="00E43350"/>
    <w:rsid w:val="00E43737"/>
    <w:rsid w:val="00E43C55"/>
    <w:rsid w:val="00E441FD"/>
    <w:rsid w:val="00E4439E"/>
    <w:rsid w:val="00E463F0"/>
    <w:rsid w:val="00E46542"/>
    <w:rsid w:val="00E508E3"/>
    <w:rsid w:val="00E5093C"/>
    <w:rsid w:val="00E50983"/>
    <w:rsid w:val="00E51198"/>
    <w:rsid w:val="00E51B1F"/>
    <w:rsid w:val="00E532C7"/>
    <w:rsid w:val="00E545F9"/>
    <w:rsid w:val="00E5493C"/>
    <w:rsid w:val="00E54E86"/>
    <w:rsid w:val="00E54F09"/>
    <w:rsid w:val="00E54F6F"/>
    <w:rsid w:val="00E5538C"/>
    <w:rsid w:val="00E55F04"/>
    <w:rsid w:val="00E56258"/>
    <w:rsid w:val="00E579B9"/>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4C7F"/>
    <w:rsid w:val="00E75332"/>
    <w:rsid w:val="00E7624D"/>
    <w:rsid w:val="00E77B3E"/>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668E"/>
    <w:rsid w:val="00E96D42"/>
    <w:rsid w:val="00E97268"/>
    <w:rsid w:val="00E9744A"/>
    <w:rsid w:val="00E974CF"/>
    <w:rsid w:val="00E97AE2"/>
    <w:rsid w:val="00EA169B"/>
    <w:rsid w:val="00EA2012"/>
    <w:rsid w:val="00EA26A1"/>
    <w:rsid w:val="00EA32C3"/>
    <w:rsid w:val="00EA4711"/>
    <w:rsid w:val="00EA538F"/>
    <w:rsid w:val="00EA5938"/>
    <w:rsid w:val="00EA5A39"/>
    <w:rsid w:val="00EA5B35"/>
    <w:rsid w:val="00EA5BCF"/>
    <w:rsid w:val="00EA5E9F"/>
    <w:rsid w:val="00EA65EF"/>
    <w:rsid w:val="00EA6A83"/>
    <w:rsid w:val="00EA72AE"/>
    <w:rsid w:val="00EA7E15"/>
    <w:rsid w:val="00EB0191"/>
    <w:rsid w:val="00EB1612"/>
    <w:rsid w:val="00EB1B35"/>
    <w:rsid w:val="00EB249E"/>
    <w:rsid w:val="00EB492A"/>
    <w:rsid w:val="00EB52C5"/>
    <w:rsid w:val="00EB5843"/>
    <w:rsid w:val="00EB5DE7"/>
    <w:rsid w:val="00EB5E79"/>
    <w:rsid w:val="00EB6589"/>
    <w:rsid w:val="00EB761E"/>
    <w:rsid w:val="00EB7C1E"/>
    <w:rsid w:val="00EC1BCB"/>
    <w:rsid w:val="00EC1C60"/>
    <w:rsid w:val="00EC1F33"/>
    <w:rsid w:val="00EC2021"/>
    <w:rsid w:val="00EC2701"/>
    <w:rsid w:val="00EC37D2"/>
    <w:rsid w:val="00EC4D59"/>
    <w:rsid w:val="00EC53F2"/>
    <w:rsid w:val="00EC55C4"/>
    <w:rsid w:val="00EC5795"/>
    <w:rsid w:val="00ED0571"/>
    <w:rsid w:val="00ED094A"/>
    <w:rsid w:val="00ED205C"/>
    <w:rsid w:val="00ED2E0D"/>
    <w:rsid w:val="00ED7314"/>
    <w:rsid w:val="00ED7B8B"/>
    <w:rsid w:val="00EE0808"/>
    <w:rsid w:val="00EE14C4"/>
    <w:rsid w:val="00EE3B17"/>
    <w:rsid w:val="00EE481C"/>
    <w:rsid w:val="00EE48F1"/>
    <w:rsid w:val="00EE4A2D"/>
    <w:rsid w:val="00EE544C"/>
    <w:rsid w:val="00EE66E6"/>
    <w:rsid w:val="00EE7A5F"/>
    <w:rsid w:val="00EF13E6"/>
    <w:rsid w:val="00EF14C9"/>
    <w:rsid w:val="00EF2ED7"/>
    <w:rsid w:val="00EF3815"/>
    <w:rsid w:val="00EF3888"/>
    <w:rsid w:val="00EF3DC1"/>
    <w:rsid w:val="00EF502A"/>
    <w:rsid w:val="00EF5055"/>
    <w:rsid w:val="00EF5967"/>
    <w:rsid w:val="00EF5A61"/>
    <w:rsid w:val="00EF72F8"/>
    <w:rsid w:val="00EF7C44"/>
    <w:rsid w:val="00EF7CD4"/>
    <w:rsid w:val="00F01695"/>
    <w:rsid w:val="00F025AD"/>
    <w:rsid w:val="00F040C8"/>
    <w:rsid w:val="00F04B40"/>
    <w:rsid w:val="00F058C4"/>
    <w:rsid w:val="00F059D2"/>
    <w:rsid w:val="00F05BA8"/>
    <w:rsid w:val="00F073AA"/>
    <w:rsid w:val="00F0747C"/>
    <w:rsid w:val="00F07A38"/>
    <w:rsid w:val="00F07BF2"/>
    <w:rsid w:val="00F11DCA"/>
    <w:rsid w:val="00F12D1C"/>
    <w:rsid w:val="00F13BB5"/>
    <w:rsid w:val="00F1593A"/>
    <w:rsid w:val="00F170C8"/>
    <w:rsid w:val="00F17823"/>
    <w:rsid w:val="00F1799D"/>
    <w:rsid w:val="00F21D4A"/>
    <w:rsid w:val="00F2303C"/>
    <w:rsid w:val="00F23074"/>
    <w:rsid w:val="00F23FDB"/>
    <w:rsid w:val="00F252C0"/>
    <w:rsid w:val="00F25C19"/>
    <w:rsid w:val="00F2607A"/>
    <w:rsid w:val="00F261AF"/>
    <w:rsid w:val="00F31F13"/>
    <w:rsid w:val="00F33C2B"/>
    <w:rsid w:val="00F34F76"/>
    <w:rsid w:val="00F3519E"/>
    <w:rsid w:val="00F35792"/>
    <w:rsid w:val="00F359B1"/>
    <w:rsid w:val="00F368EA"/>
    <w:rsid w:val="00F37007"/>
    <w:rsid w:val="00F378C2"/>
    <w:rsid w:val="00F37BB4"/>
    <w:rsid w:val="00F40C36"/>
    <w:rsid w:val="00F418DA"/>
    <w:rsid w:val="00F42930"/>
    <w:rsid w:val="00F42B5D"/>
    <w:rsid w:val="00F42F9E"/>
    <w:rsid w:val="00F437A5"/>
    <w:rsid w:val="00F43DB2"/>
    <w:rsid w:val="00F45282"/>
    <w:rsid w:val="00F45A36"/>
    <w:rsid w:val="00F45CF8"/>
    <w:rsid w:val="00F461C7"/>
    <w:rsid w:val="00F4639C"/>
    <w:rsid w:val="00F470D1"/>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2D4"/>
    <w:rsid w:val="00F72439"/>
    <w:rsid w:val="00F732E4"/>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1E83"/>
    <w:rsid w:val="00FA2EC5"/>
    <w:rsid w:val="00FA4546"/>
    <w:rsid w:val="00FA4878"/>
    <w:rsid w:val="00FA504E"/>
    <w:rsid w:val="00FA5150"/>
    <w:rsid w:val="00FA6E64"/>
    <w:rsid w:val="00FB2E1D"/>
    <w:rsid w:val="00FB365C"/>
    <w:rsid w:val="00FB4843"/>
    <w:rsid w:val="00FB5B4E"/>
    <w:rsid w:val="00FB5CFD"/>
    <w:rsid w:val="00FB5F3F"/>
    <w:rsid w:val="00FB6D7A"/>
    <w:rsid w:val="00FB7313"/>
    <w:rsid w:val="00FC0A85"/>
    <w:rsid w:val="00FC0F39"/>
    <w:rsid w:val="00FC1063"/>
    <w:rsid w:val="00FC1AD5"/>
    <w:rsid w:val="00FC1D6F"/>
    <w:rsid w:val="00FC2E6C"/>
    <w:rsid w:val="00FC2FA1"/>
    <w:rsid w:val="00FC2FF6"/>
    <w:rsid w:val="00FC3171"/>
    <w:rsid w:val="00FC3F43"/>
    <w:rsid w:val="00FC57AE"/>
    <w:rsid w:val="00FC5D27"/>
    <w:rsid w:val="00FC5E32"/>
    <w:rsid w:val="00FC60B4"/>
    <w:rsid w:val="00FC721E"/>
    <w:rsid w:val="00FC7502"/>
    <w:rsid w:val="00FD081E"/>
    <w:rsid w:val="00FD152A"/>
    <w:rsid w:val="00FD1851"/>
    <w:rsid w:val="00FD1D35"/>
    <w:rsid w:val="00FD328B"/>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4D7"/>
    <w:rsid w:val="00FE6B74"/>
    <w:rsid w:val="00FE6BD4"/>
    <w:rsid w:val="00FE74AD"/>
    <w:rsid w:val="00FE772F"/>
    <w:rsid w:val="00FE77E0"/>
    <w:rsid w:val="00FE79FA"/>
    <w:rsid w:val="00FE7EFC"/>
    <w:rsid w:val="00FF15D2"/>
    <w:rsid w:val="00FF19D9"/>
    <w:rsid w:val="00FF2990"/>
    <w:rsid w:val="00FF33E7"/>
    <w:rsid w:val="00FF3883"/>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FEBA9D"/>
  <w15:chartTrackingRefBased/>
  <w15:docId w15:val="{CE155A94-BE40-496F-9EB4-515D95AF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Calibri" w:hAnsi="Helvetica" w:cs="Times New Roman"/>
        <w:lang w:val="en-IN" w:eastAsia="en-I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1B8"/>
    <w:rPr>
      <w:sz w:val="24"/>
      <w:szCs w:val="24"/>
      <w:lang w:val="en-GB" w:eastAsia="en-US" w:bidi="ar-SA"/>
    </w:rPr>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Calibri" w:eastAsia="Times New Roman" w:hAnsi="Calibri" w:cs="Vrinda"/>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Calibri Light" w:eastAsia="Times New Roman" w:hAnsi="Calibri Light" w:cs="Vrinda"/>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link w:val="Heading1"/>
    <w:uiPriority w:val="9"/>
    <w:qFormat/>
    <w:rsid w:val="00C9597C"/>
    <w:rPr>
      <w:rFonts w:ascii="Garamond" w:eastAsia="Times New Roman" w:hAnsi="Garamond"/>
      <w:bCs/>
      <w:szCs w:val="28"/>
    </w:rPr>
  </w:style>
  <w:style w:type="character" w:customStyle="1" w:styleId="Heading2Char">
    <w:name w:val="Heading 2 Char"/>
    <w:link w:val="Heading2"/>
    <w:rsid w:val="00C9597C"/>
    <w:rPr>
      <w:rFonts w:ascii="Cambria" w:eastAsia="Times New Roman" w:hAnsi="Cambria"/>
      <w:b/>
      <w:bCs/>
      <w:color w:val="4F81BD"/>
      <w:sz w:val="26"/>
      <w:szCs w:val="26"/>
      <w:lang w:val="en-US"/>
    </w:rPr>
  </w:style>
  <w:style w:type="character" w:customStyle="1" w:styleId="Heading3Char">
    <w:name w:val="Heading 3 Char"/>
    <w:link w:val="Heading3"/>
    <w:qFormat/>
    <w:rsid w:val="00C9597C"/>
    <w:rPr>
      <w:rFonts w:ascii="Cambria" w:eastAsia="Times New Roman" w:hAnsi="Cambria"/>
      <w:b/>
      <w:bCs/>
      <w:color w:val="4F81BD"/>
    </w:rPr>
  </w:style>
  <w:style w:type="character" w:customStyle="1" w:styleId="Heading4Char">
    <w:name w:val="Heading 4 Char"/>
    <w:link w:val="Heading4"/>
    <w:rsid w:val="00C9597C"/>
    <w:rPr>
      <w:rFonts w:ascii="Times New Roman" w:eastAsia="Times New Roman" w:hAnsi="Times New Roman"/>
      <w:b/>
      <w:color w:val="000000"/>
      <w:lang w:val="en-IN" w:eastAsia="en-IN"/>
    </w:rPr>
  </w:style>
  <w:style w:type="character" w:customStyle="1" w:styleId="Heading5Char">
    <w:name w:val="Heading 5 Char"/>
    <w:link w:val="Heading5"/>
    <w:rsid w:val="00C9597C"/>
    <w:rPr>
      <w:rFonts w:ascii="Times New Roman" w:eastAsia="Times New Roman" w:hAnsi="Times New Roman"/>
      <w:b/>
      <w:bCs/>
      <w:i/>
      <w:iCs/>
      <w:sz w:val="26"/>
      <w:szCs w:val="26"/>
      <w:lang w:val="en-US"/>
    </w:rPr>
  </w:style>
  <w:style w:type="character" w:customStyle="1" w:styleId="Heading6Char">
    <w:name w:val="Heading 6 Char"/>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3"/>
    <w:basedOn w:val="Normal"/>
    <w:link w:val="ListParagraphChar"/>
    <w:uiPriority w:val="34"/>
    <w:qFormat/>
    <w:rsid w:val="00C9597C"/>
    <w:pPr>
      <w:spacing w:after="200" w:line="276" w:lineRule="auto"/>
      <w:ind w:left="720"/>
      <w:contextualSpacing/>
    </w:pPr>
    <w:rPr>
      <w:rFonts w:ascii="Calibri" w:hAnsi="Calibri"/>
      <w:sz w:val="20"/>
      <w:szCs w:val="20"/>
      <w:lang w:val="en-US"/>
    </w:rPr>
  </w:style>
  <w:style w:type="paragraph" w:customStyle="1" w:styleId="Default">
    <w:name w:val="Default"/>
    <w:rsid w:val="00C9597C"/>
    <w:pPr>
      <w:autoSpaceDE w:val="0"/>
      <w:autoSpaceDN w:val="0"/>
      <w:adjustRightInd w:val="0"/>
    </w:pPr>
    <w:rPr>
      <w:rFonts w:ascii="Arial" w:hAnsi="Arial" w:cs="Arial"/>
      <w:color w:val="000000"/>
      <w:sz w:val="24"/>
      <w:szCs w:val="24"/>
      <w:lang w:val="en-US" w:eastAsia="en-US" w:bidi="ar-SA"/>
    </w:rPr>
  </w:style>
  <w:style w:type="paragraph" w:styleId="BalloonText">
    <w:name w:val="Balloon Text"/>
    <w:basedOn w:val="Normal"/>
    <w:link w:val="BalloonTextChar"/>
    <w:uiPriority w:val="99"/>
    <w:unhideWhenUsed/>
    <w:qFormat/>
    <w:rsid w:val="00C9597C"/>
    <w:rPr>
      <w:rFonts w:ascii="Tahoma" w:hAnsi="Tahoma"/>
      <w:sz w:val="16"/>
      <w:szCs w:val="16"/>
      <w:lang w:val="en-US"/>
    </w:rPr>
  </w:style>
  <w:style w:type="character" w:customStyle="1" w:styleId="BalloonTextChar">
    <w:name w:val="Balloon Text Char"/>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hAnsi="Calibri"/>
      <w:sz w:val="22"/>
      <w:szCs w:val="22"/>
      <w:lang w:val="en-US" w:eastAsia="en-US" w:bidi="ar-SA"/>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hAnsi="Calibri"/>
      <w:sz w:val="20"/>
      <w:szCs w:val="20"/>
      <w:lang w:val="en-US"/>
    </w:rPr>
  </w:style>
  <w:style w:type="character" w:customStyle="1" w:styleId="FooterChar">
    <w:name w:val="Footer Char"/>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hAnsi="Calibri"/>
      <w:sz w:val="20"/>
      <w:szCs w:val="20"/>
      <w:lang w:val="en-US"/>
    </w:rPr>
  </w:style>
  <w:style w:type="character" w:customStyle="1" w:styleId="EndnoteTextChar">
    <w:name w:val="Endnote Text Char"/>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hAnsi="Calibri"/>
      <w:sz w:val="20"/>
      <w:szCs w:val="20"/>
      <w:lang w:val="en-US"/>
    </w:rPr>
  </w:style>
  <w:style w:type="character" w:customStyle="1" w:styleId="FootnoteTextChar">
    <w:name w:val="Footnote Text Char"/>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hAnsi="Calibri"/>
      <w:sz w:val="20"/>
      <w:szCs w:val="20"/>
      <w:lang w:val="en-US"/>
    </w:rPr>
  </w:style>
  <w:style w:type="character" w:customStyle="1" w:styleId="CommentTextChar">
    <w:name w:val="Comment Text Char"/>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hAnsi="Calibri"/>
      <w:sz w:val="22"/>
      <w:szCs w:val="22"/>
      <w:lang w:val="en-US" w:eastAsia="en-US" w:bidi="ar-SA"/>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
    <w:name w:val="Light Grid - Accent 11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
    <w:name w:val="Light Grid - Accent 5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
    <w:name w:val="Light Grid - Accent 12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
    <w:name w:val="Light List - Accent 5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
    <w:name w:val="Light List - Accent 11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
    <w:name w:val="Light Grid - Accent 13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
    <w:name w:val="Grid Table 4 Accent 3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
    <w:name w:val="Light Grid - Accent 11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
    <w:name w:val="Light Grid - Accent 5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
    <w:name w:val="Light Grid - Accent 12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
    <w:name w:val="Light List - Accent 5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
    <w:name w:val="Light List - Accent 11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
    <w:name w:val="Light Grid - Accent 13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
    <w:name w:val="Grid Table 4 Accent 32"/>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
    <w:name w:val="Light Grid - Accent 11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
    <w:name w:val="Light Grid - Accent 5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
    <w:name w:val="Light Grid - Accent 12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
    <w:name w:val="Light List - Accent 5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
    <w:name w:val="Light List - Accent 11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
    <w:name w:val="Light Grid - Accent 13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
    <w:name w:val="Table Grid3"/>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
    <w:name w:val="Light Grid - Accent 11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
    <w:name w:val="Light Grid - Accent 5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
    <w:name w:val="Light Grid - Accent 12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
    <w:name w:val="Light List - Accent 5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
    <w:name w:val="Light List - Accent 11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
    <w:name w:val="Light Grid - Accent 13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
    <w:name w:val="Grid Table 4 Accent 31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
    <w:name w:val="Light Grid - Accent 11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
    <w:name w:val="Light Grid - Accent 5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
    <w:name w:val="Light Grid - Accent 12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
    <w:name w:val="Light List - Accent 5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
    <w:name w:val="Light List - Accent 11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
    <w:name w:val="Light Grid - Accent 13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
    <w:name w:val="Grid Table 4 Accent 32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
    <w:name w:val="Table Grid1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
    <w:name w:val="Light Grid - Accent 112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
    <w:name w:val="Light Grid - Accent 52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
    <w:name w:val="Light Grid - Accent 122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
    <w:name w:val="Light List - Accent 52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
    <w:name w:val="Light List - Accent 112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
    <w:name w:val="Light Grid - Accent 132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
    <w:name w:val="Grid Table 4 Accent 312"/>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
    <w:name w:val="Light Grid - Accent 113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
    <w:name w:val="Light Grid - Accent 53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
    <w:name w:val="Light Grid - Accent 123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
    <w:name w:val="Light List - Accent 53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
    <w:name w:val="Light List - Accent 113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
    <w:name w:val="Light Grid - Accent 133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
    <w:name w:val="Grid Table 4 Accent 322"/>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
    <w:name w:val="Table Grid12"/>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
    <w:name w:val="Light Grid - Accent 11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
    <w:name w:val="Light Grid - Accent 5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
    <w:name w:val="Light Grid - Accent 12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
    <w:name w:val="Light List - Accent 5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
    <w:name w:val="Light List - Accent 11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
    <w:name w:val="Light Grid - Accent 13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Calibri" w:hAnsi="Calibri" w:cs="Vrinda"/>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hAnsi="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eamViewer9" w:eastAsia="Times New Roman" w:hAnsi="TeamViewer9"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eamViewer9" w:eastAsia="Times New Roman" w:hAnsi="TeamViewer9"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eamViewer9" w:eastAsia="Times New Roman" w:hAnsi="TeamViewer9"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eamViewer9" w:eastAsia="Times New Roman" w:hAnsi="TeamViewer9" w:cs="Times New Roman"/>
        <w:b/>
        <w:bCs/>
      </w:rPr>
    </w:tblStylePr>
    <w:tblStylePr w:type="lastCol">
      <w:rPr>
        <w:rFonts w:ascii="TeamViewer9" w:eastAsia="Times New Roman" w:hAnsi="TeamViewer9"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00">
      <w:bodyDiv w:val="1"/>
      <w:marLeft w:val="0"/>
      <w:marRight w:val="0"/>
      <w:marTop w:val="0"/>
      <w:marBottom w:val="0"/>
      <w:divBdr>
        <w:top w:val="none" w:sz="0" w:space="0" w:color="auto"/>
        <w:left w:val="none" w:sz="0" w:space="0" w:color="auto"/>
        <w:bottom w:val="none" w:sz="0" w:space="0" w:color="auto"/>
        <w:right w:val="none" w:sz="0" w:space="0" w:color="auto"/>
      </w:divBdr>
    </w:div>
    <w:div w:id="9843139">
      <w:bodyDiv w:val="1"/>
      <w:marLeft w:val="0"/>
      <w:marRight w:val="0"/>
      <w:marTop w:val="0"/>
      <w:marBottom w:val="0"/>
      <w:divBdr>
        <w:top w:val="none" w:sz="0" w:space="0" w:color="auto"/>
        <w:left w:val="none" w:sz="0" w:space="0" w:color="auto"/>
        <w:bottom w:val="none" w:sz="0" w:space="0" w:color="auto"/>
        <w:right w:val="none" w:sz="0" w:space="0" w:color="auto"/>
      </w:divBdr>
    </w:div>
    <w:div w:id="10227050">
      <w:bodyDiv w:val="1"/>
      <w:marLeft w:val="0"/>
      <w:marRight w:val="0"/>
      <w:marTop w:val="0"/>
      <w:marBottom w:val="0"/>
      <w:divBdr>
        <w:top w:val="none" w:sz="0" w:space="0" w:color="auto"/>
        <w:left w:val="none" w:sz="0" w:space="0" w:color="auto"/>
        <w:bottom w:val="none" w:sz="0" w:space="0" w:color="auto"/>
        <w:right w:val="none" w:sz="0" w:space="0" w:color="auto"/>
      </w:divBdr>
    </w:div>
    <w:div w:id="10881054">
      <w:bodyDiv w:val="1"/>
      <w:marLeft w:val="0"/>
      <w:marRight w:val="0"/>
      <w:marTop w:val="0"/>
      <w:marBottom w:val="0"/>
      <w:divBdr>
        <w:top w:val="none" w:sz="0" w:space="0" w:color="auto"/>
        <w:left w:val="none" w:sz="0" w:space="0" w:color="auto"/>
        <w:bottom w:val="none" w:sz="0" w:space="0" w:color="auto"/>
        <w:right w:val="none" w:sz="0" w:space="0" w:color="auto"/>
      </w:divBdr>
    </w:div>
    <w:div w:id="11609932">
      <w:bodyDiv w:val="1"/>
      <w:marLeft w:val="0"/>
      <w:marRight w:val="0"/>
      <w:marTop w:val="0"/>
      <w:marBottom w:val="0"/>
      <w:divBdr>
        <w:top w:val="none" w:sz="0" w:space="0" w:color="auto"/>
        <w:left w:val="none" w:sz="0" w:space="0" w:color="auto"/>
        <w:bottom w:val="none" w:sz="0" w:space="0" w:color="auto"/>
        <w:right w:val="none" w:sz="0" w:space="0" w:color="auto"/>
      </w:divBdr>
    </w:div>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4576221">
      <w:bodyDiv w:val="1"/>
      <w:marLeft w:val="0"/>
      <w:marRight w:val="0"/>
      <w:marTop w:val="0"/>
      <w:marBottom w:val="0"/>
      <w:divBdr>
        <w:top w:val="none" w:sz="0" w:space="0" w:color="auto"/>
        <w:left w:val="none" w:sz="0" w:space="0" w:color="auto"/>
        <w:bottom w:val="none" w:sz="0" w:space="0" w:color="auto"/>
        <w:right w:val="none" w:sz="0" w:space="0" w:color="auto"/>
      </w:divBdr>
    </w:div>
    <w:div w:id="17707175">
      <w:bodyDiv w:val="1"/>
      <w:marLeft w:val="0"/>
      <w:marRight w:val="0"/>
      <w:marTop w:val="0"/>
      <w:marBottom w:val="0"/>
      <w:divBdr>
        <w:top w:val="none" w:sz="0" w:space="0" w:color="auto"/>
        <w:left w:val="none" w:sz="0" w:space="0" w:color="auto"/>
        <w:bottom w:val="none" w:sz="0" w:space="0" w:color="auto"/>
        <w:right w:val="none" w:sz="0" w:space="0" w:color="auto"/>
      </w:divBdr>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1442526">
      <w:bodyDiv w:val="1"/>
      <w:marLeft w:val="0"/>
      <w:marRight w:val="0"/>
      <w:marTop w:val="0"/>
      <w:marBottom w:val="0"/>
      <w:divBdr>
        <w:top w:val="none" w:sz="0" w:space="0" w:color="auto"/>
        <w:left w:val="none" w:sz="0" w:space="0" w:color="auto"/>
        <w:bottom w:val="none" w:sz="0" w:space="0" w:color="auto"/>
        <w:right w:val="none" w:sz="0" w:space="0" w:color="auto"/>
      </w:divBdr>
    </w:div>
    <w:div w:id="2637768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031797">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2584182">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58554659">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1843623163">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sChild>
    </w:div>
    <w:div w:id="34622816">
      <w:bodyDiv w:val="1"/>
      <w:marLeft w:val="0"/>
      <w:marRight w:val="0"/>
      <w:marTop w:val="0"/>
      <w:marBottom w:val="0"/>
      <w:divBdr>
        <w:top w:val="none" w:sz="0" w:space="0" w:color="auto"/>
        <w:left w:val="none" w:sz="0" w:space="0" w:color="auto"/>
        <w:bottom w:val="none" w:sz="0" w:space="0" w:color="auto"/>
        <w:right w:val="none" w:sz="0" w:space="0" w:color="auto"/>
      </w:divBdr>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455034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5155814">
      <w:bodyDiv w:val="1"/>
      <w:marLeft w:val="0"/>
      <w:marRight w:val="0"/>
      <w:marTop w:val="0"/>
      <w:marBottom w:val="0"/>
      <w:divBdr>
        <w:top w:val="none" w:sz="0" w:space="0" w:color="auto"/>
        <w:left w:val="none" w:sz="0" w:space="0" w:color="auto"/>
        <w:bottom w:val="none" w:sz="0" w:space="0" w:color="auto"/>
        <w:right w:val="none" w:sz="0" w:space="0" w:color="auto"/>
      </w:divBdr>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2046671">
      <w:bodyDiv w:val="1"/>
      <w:marLeft w:val="0"/>
      <w:marRight w:val="0"/>
      <w:marTop w:val="0"/>
      <w:marBottom w:val="0"/>
      <w:divBdr>
        <w:top w:val="none" w:sz="0" w:space="0" w:color="auto"/>
        <w:left w:val="none" w:sz="0" w:space="0" w:color="auto"/>
        <w:bottom w:val="none" w:sz="0" w:space="0" w:color="auto"/>
        <w:right w:val="none" w:sz="0" w:space="0" w:color="auto"/>
      </w:divBdr>
    </w:div>
    <w:div w:id="72970213">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7794269">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6274064">
      <w:bodyDiv w:val="1"/>
      <w:marLeft w:val="0"/>
      <w:marRight w:val="0"/>
      <w:marTop w:val="0"/>
      <w:marBottom w:val="0"/>
      <w:divBdr>
        <w:top w:val="none" w:sz="0" w:space="0" w:color="auto"/>
        <w:left w:val="none" w:sz="0" w:space="0" w:color="auto"/>
        <w:bottom w:val="none" w:sz="0" w:space="0" w:color="auto"/>
        <w:right w:val="none" w:sz="0" w:space="0" w:color="auto"/>
      </w:divBdr>
    </w:div>
    <w:div w:id="86509318">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0342425">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73573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16532062">
      <w:bodyDiv w:val="1"/>
      <w:marLeft w:val="0"/>
      <w:marRight w:val="0"/>
      <w:marTop w:val="0"/>
      <w:marBottom w:val="0"/>
      <w:divBdr>
        <w:top w:val="none" w:sz="0" w:space="0" w:color="auto"/>
        <w:left w:val="none" w:sz="0" w:space="0" w:color="auto"/>
        <w:bottom w:val="none" w:sz="0" w:space="0" w:color="auto"/>
        <w:right w:val="none" w:sz="0" w:space="0" w:color="auto"/>
      </w:divBdr>
    </w:div>
    <w:div w:id="119541647">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6122111">
      <w:bodyDiv w:val="1"/>
      <w:marLeft w:val="0"/>
      <w:marRight w:val="0"/>
      <w:marTop w:val="0"/>
      <w:marBottom w:val="0"/>
      <w:divBdr>
        <w:top w:val="none" w:sz="0" w:space="0" w:color="auto"/>
        <w:left w:val="none" w:sz="0" w:space="0" w:color="auto"/>
        <w:bottom w:val="none" w:sz="0" w:space="0" w:color="auto"/>
        <w:right w:val="none" w:sz="0" w:space="0" w:color="auto"/>
      </w:divBdr>
    </w:div>
    <w:div w:id="127018056">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287366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221552515">
                  <w:marLeft w:val="0"/>
                  <w:marRight w:val="0"/>
                  <w:marTop w:val="0"/>
                  <w:marBottom w:val="0"/>
                  <w:divBdr>
                    <w:top w:val="none" w:sz="0" w:space="0" w:color="auto"/>
                    <w:left w:val="none" w:sz="0" w:space="0" w:color="auto"/>
                    <w:bottom w:val="none" w:sz="0" w:space="0" w:color="auto"/>
                    <w:right w:val="none" w:sz="0" w:space="0" w:color="auto"/>
                  </w:divBdr>
                </w:div>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4856199">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2377278">
      <w:bodyDiv w:val="1"/>
      <w:marLeft w:val="0"/>
      <w:marRight w:val="0"/>
      <w:marTop w:val="0"/>
      <w:marBottom w:val="0"/>
      <w:divBdr>
        <w:top w:val="none" w:sz="0" w:space="0" w:color="auto"/>
        <w:left w:val="none" w:sz="0" w:space="0" w:color="auto"/>
        <w:bottom w:val="none" w:sz="0" w:space="0" w:color="auto"/>
        <w:right w:val="none" w:sz="0" w:space="0" w:color="auto"/>
      </w:divBdr>
    </w:div>
    <w:div w:id="15257522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2862210">
      <w:bodyDiv w:val="1"/>
      <w:marLeft w:val="0"/>
      <w:marRight w:val="0"/>
      <w:marTop w:val="0"/>
      <w:marBottom w:val="0"/>
      <w:divBdr>
        <w:top w:val="none" w:sz="0" w:space="0" w:color="auto"/>
        <w:left w:val="none" w:sz="0" w:space="0" w:color="auto"/>
        <w:bottom w:val="none" w:sz="0" w:space="0" w:color="auto"/>
        <w:right w:val="none" w:sz="0" w:space="0" w:color="auto"/>
      </w:divBdr>
    </w:div>
    <w:div w:id="163211436">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5900742">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1840804">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6775140">
      <w:bodyDiv w:val="1"/>
      <w:marLeft w:val="0"/>
      <w:marRight w:val="0"/>
      <w:marTop w:val="0"/>
      <w:marBottom w:val="0"/>
      <w:divBdr>
        <w:top w:val="none" w:sz="0" w:space="0" w:color="auto"/>
        <w:left w:val="none" w:sz="0" w:space="0" w:color="auto"/>
        <w:bottom w:val="none" w:sz="0" w:space="0" w:color="auto"/>
        <w:right w:val="none" w:sz="0" w:space="0" w:color="auto"/>
      </w:divBdr>
    </w:div>
    <w:div w:id="179046478">
      <w:bodyDiv w:val="1"/>
      <w:marLeft w:val="0"/>
      <w:marRight w:val="0"/>
      <w:marTop w:val="0"/>
      <w:marBottom w:val="0"/>
      <w:divBdr>
        <w:top w:val="none" w:sz="0" w:space="0" w:color="auto"/>
        <w:left w:val="none" w:sz="0" w:space="0" w:color="auto"/>
        <w:bottom w:val="none" w:sz="0" w:space="0" w:color="auto"/>
        <w:right w:val="none" w:sz="0" w:space="0" w:color="auto"/>
      </w:divBdr>
    </w:div>
    <w:div w:id="179247669">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0360846">
      <w:bodyDiv w:val="1"/>
      <w:marLeft w:val="0"/>
      <w:marRight w:val="0"/>
      <w:marTop w:val="0"/>
      <w:marBottom w:val="0"/>
      <w:divBdr>
        <w:top w:val="none" w:sz="0" w:space="0" w:color="auto"/>
        <w:left w:val="none" w:sz="0" w:space="0" w:color="auto"/>
        <w:bottom w:val="none" w:sz="0" w:space="0" w:color="auto"/>
        <w:right w:val="none" w:sz="0" w:space="0" w:color="auto"/>
      </w:divBdr>
    </w:div>
    <w:div w:id="180823727">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2617469">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04829559">
      <w:bodyDiv w:val="1"/>
      <w:marLeft w:val="0"/>
      <w:marRight w:val="0"/>
      <w:marTop w:val="0"/>
      <w:marBottom w:val="0"/>
      <w:divBdr>
        <w:top w:val="none" w:sz="0" w:space="0" w:color="auto"/>
        <w:left w:val="none" w:sz="0" w:space="0" w:color="auto"/>
        <w:bottom w:val="none" w:sz="0" w:space="0" w:color="auto"/>
        <w:right w:val="none" w:sz="0" w:space="0" w:color="auto"/>
      </w:divBdr>
    </w:div>
    <w:div w:id="207837922">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17590888">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27962458">
      <w:bodyDiv w:val="1"/>
      <w:marLeft w:val="0"/>
      <w:marRight w:val="0"/>
      <w:marTop w:val="0"/>
      <w:marBottom w:val="0"/>
      <w:divBdr>
        <w:top w:val="none" w:sz="0" w:space="0" w:color="auto"/>
        <w:left w:val="none" w:sz="0" w:space="0" w:color="auto"/>
        <w:bottom w:val="none" w:sz="0" w:space="0" w:color="auto"/>
        <w:right w:val="none" w:sz="0" w:space="0" w:color="auto"/>
      </w:divBdr>
    </w:div>
    <w:div w:id="229384865">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2882377">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2327">
          <w:marLeft w:val="0"/>
          <w:marRight w:val="0"/>
          <w:marTop w:val="0"/>
          <w:marBottom w:val="0"/>
          <w:divBdr>
            <w:top w:val="none" w:sz="0" w:space="0" w:color="auto"/>
            <w:left w:val="none" w:sz="0" w:space="0" w:color="auto"/>
            <w:bottom w:val="none" w:sz="0" w:space="0" w:color="auto"/>
            <w:right w:val="none" w:sz="0" w:space="0" w:color="auto"/>
          </w:divBdr>
        </w:div>
      </w:divsChild>
    </w:div>
    <w:div w:id="246811412">
      <w:bodyDiv w:val="1"/>
      <w:marLeft w:val="0"/>
      <w:marRight w:val="0"/>
      <w:marTop w:val="0"/>
      <w:marBottom w:val="0"/>
      <w:divBdr>
        <w:top w:val="none" w:sz="0" w:space="0" w:color="auto"/>
        <w:left w:val="none" w:sz="0" w:space="0" w:color="auto"/>
        <w:bottom w:val="none" w:sz="0" w:space="0" w:color="auto"/>
        <w:right w:val="none" w:sz="0" w:space="0" w:color="auto"/>
      </w:divBdr>
    </w:div>
    <w:div w:id="252277797">
      <w:bodyDiv w:val="1"/>
      <w:marLeft w:val="0"/>
      <w:marRight w:val="0"/>
      <w:marTop w:val="0"/>
      <w:marBottom w:val="0"/>
      <w:divBdr>
        <w:top w:val="none" w:sz="0" w:space="0" w:color="auto"/>
        <w:left w:val="none" w:sz="0" w:space="0" w:color="auto"/>
        <w:bottom w:val="none" w:sz="0" w:space="0" w:color="auto"/>
        <w:right w:val="none" w:sz="0" w:space="0" w:color="auto"/>
      </w:divBdr>
    </w:div>
    <w:div w:id="260651718">
      <w:bodyDiv w:val="1"/>
      <w:marLeft w:val="0"/>
      <w:marRight w:val="0"/>
      <w:marTop w:val="0"/>
      <w:marBottom w:val="0"/>
      <w:divBdr>
        <w:top w:val="none" w:sz="0" w:space="0" w:color="auto"/>
        <w:left w:val="none" w:sz="0" w:space="0" w:color="auto"/>
        <w:bottom w:val="none" w:sz="0" w:space="0" w:color="auto"/>
        <w:right w:val="none" w:sz="0" w:space="0" w:color="auto"/>
      </w:divBdr>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78757168">
      <w:bodyDiv w:val="1"/>
      <w:marLeft w:val="0"/>
      <w:marRight w:val="0"/>
      <w:marTop w:val="0"/>
      <w:marBottom w:val="0"/>
      <w:divBdr>
        <w:top w:val="none" w:sz="0" w:space="0" w:color="auto"/>
        <w:left w:val="none" w:sz="0" w:space="0" w:color="auto"/>
        <w:bottom w:val="none" w:sz="0" w:space="0" w:color="auto"/>
        <w:right w:val="none" w:sz="0" w:space="0" w:color="auto"/>
      </w:divBdr>
    </w:div>
    <w:div w:id="282661961">
      <w:bodyDiv w:val="1"/>
      <w:marLeft w:val="0"/>
      <w:marRight w:val="0"/>
      <w:marTop w:val="0"/>
      <w:marBottom w:val="0"/>
      <w:divBdr>
        <w:top w:val="none" w:sz="0" w:space="0" w:color="auto"/>
        <w:left w:val="none" w:sz="0" w:space="0" w:color="auto"/>
        <w:bottom w:val="none" w:sz="0" w:space="0" w:color="auto"/>
        <w:right w:val="none" w:sz="0" w:space="0" w:color="auto"/>
      </w:divBdr>
    </w:div>
    <w:div w:id="283578331">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8973641">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7027667">
      <w:bodyDiv w:val="1"/>
      <w:marLeft w:val="0"/>
      <w:marRight w:val="0"/>
      <w:marTop w:val="0"/>
      <w:marBottom w:val="0"/>
      <w:divBdr>
        <w:top w:val="none" w:sz="0" w:space="0" w:color="auto"/>
        <w:left w:val="none" w:sz="0" w:space="0" w:color="auto"/>
        <w:bottom w:val="none" w:sz="0" w:space="0" w:color="auto"/>
        <w:right w:val="none" w:sz="0" w:space="0" w:color="auto"/>
      </w:divBdr>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08021102">
      <w:bodyDiv w:val="1"/>
      <w:marLeft w:val="0"/>
      <w:marRight w:val="0"/>
      <w:marTop w:val="0"/>
      <w:marBottom w:val="0"/>
      <w:divBdr>
        <w:top w:val="none" w:sz="0" w:space="0" w:color="auto"/>
        <w:left w:val="none" w:sz="0" w:space="0" w:color="auto"/>
        <w:bottom w:val="none" w:sz="0" w:space="0" w:color="auto"/>
        <w:right w:val="none" w:sz="0" w:space="0" w:color="auto"/>
      </w:divBdr>
    </w:div>
    <w:div w:id="311370911">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1465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5107679">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18080">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37149874">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243536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937061378">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5333317">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31772956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6103668">
      <w:bodyDiv w:val="1"/>
      <w:marLeft w:val="0"/>
      <w:marRight w:val="0"/>
      <w:marTop w:val="0"/>
      <w:marBottom w:val="0"/>
      <w:divBdr>
        <w:top w:val="none" w:sz="0" w:space="0" w:color="auto"/>
        <w:left w:val="none" w:sz="0" w:space="0" w:color="auto"/>
        <w:bottom w:val="none" w:sz="0" w:space="0" w:color="auto"/>
        <w:right w:val="none" w:sz="0" w:space="0" w:color="auto"/>
      </w:divBdr>
    </w:div>
    <w:div w:id="348871273">
      <w:bodyDiv w:val="1"/>
      <w:marLeft w:val="0"/>
      <w:marRight w:val="0"/>
      <w:marTop w:val="0"/>
      <w:marBottom w:val="0"/>
      <w:divBdr>
        <w:top w:val="none" w:sz="0" w:space="0" w:color="auto"/>
        <w:left w:val="none" w:sz="0" w:space="0" w:color="auto"/>
        <w:bottom w:val="none" w:sz="0" w:space="0" w:color="auto"/>
        <w:right w:val="none" w:sz="0" w:space="0" w:color="auto"/>
      </w:divBdr>
    </w:div>
    <w:div w:id="349183778">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6732490">
      <w:bodyDiv w:val="1"/>
      <w:marLeft w:val="0"/>
      <w:marRight w:val="0"/>
      <w:marTop w:val="0"/>
      <w:marBottom w:val="0"/>
      <w:divBdr>
        <w:top w:val="none" w:sz="0" w:space="0" w:color="auto"/>
        <w:left w:val="none" w:sz="0" w:space="0" w:color="auto"/>
        <w:bottom w:val="none" w:sz="0" w:space="0" w:color="auto"/>
        <w:right w:val="none" w:sz="0" w:space="0" w:color="auto"/>
      </w:divBdr>
    </w:div>
    <w:div w:id="357851715">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61519165">
      <w:bodyDiv w:val="1"/>
      <w:marLeft w:val="0"/>
      <w:marRight w:val="0"/>
      <w:marTop w:val="0"/>
      <w:marBottom w:val="0"/>
      <w:divBdr>
        <w:top w:val="none" w:sz="0" w:space="0" w:color="auto"/>
        <w:left w:val="none" w:sz="0" w:space="0" w:color="auto"/>
        <w:bottom w:val="none" w:sz="0" w:space="0" w:color="auto"/>
        <w:right w:val="none" w:sz="0" w:space="0" w:color="auto"/>
      </w:divBdr>
    </w:div>
    <w:div w:id="365983031">
      <w:bodyDiv w:val="1"/>
      <w:marLeft w:val="0"/>
      <w:marRight w:val="0"/>
      <w:marTop w:val="0"/>
      <w:marBottom w:val="0"/>
      <w:divBdr>
        <w:top w:val="none" w:sz="0" w:space="0" w:color="auto"/>
        <w:left w:val="none" w:sz="0" w:space="0" w:color="auto"/>
        <w:bottom w:val="none" w:sz="0" w:space="0" w:color="auto"/>
        <w:right w:val="none" w:sz="0" w:space="0" w:color="auto"/>
      </w:divBdr>
    </w:div>
    <w:div w:id="371535298">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7932926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82481579">
      <w:bodyDiv w:val="1"/>
      <w:marLeft w:val="0"/>
      <w:marRight w:val="0"/>
      <w:marTop w:val="0"/>
      <w:marBottom w:val="0"/>
      <w:divBdr>
        <w:top w:val="none" w:sz="0" w:space="0" w:color="auto"/>
        <w:left w:val="none" w:sz="0" w:space="0" w:color="auto"/>
        <w:bottom w:val="none" w:sz="0" w:space="0" w:color="auto"/>
        <w:right w:val="none" w:sz="0" w:space="0" w:color="auto"/>
      </w:divBdr>
    </w:div>
    <w:div w:id="389042653">
      <w:bodyDiv w:val="1"/>
      <w:marLeft w:val="0"/>
      <w:marRight w:val="0"/>
      <w:marTop w:val="0"/>
      <w:marBottom w:val="0"/>
      <w:divBdr>
        <w:top w:val="none" w:sz="0" w:space="0" w:color="auto"/>
        <w:left w:val="none" w:sz="0" w:space="0" w:color="auto"/>
        <w:bottom w:val="none" w:sz="0" w:space="0" w:color="auto"/>
        <w:right w:val="none" w:sz="0" w:space="0" w:color="auto"/>
      </w:divBdr>
    </w:div>
    <w:div w:id="390691376">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394165024">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3821478">
      <w:bodyDiv w:val="1"/>
      <w:marLeft w:val="0"/>
      <w:marRight w:val="0"/>
      <w:marTop w:val="0"/>
      <w:marBottom w:val="0"/>
      <w:divBdr>
        <w:top w:val="none" w:sz="0" w:space="0" w:color="auto"/>
        <w:left w:val="none" w:sz="0" w:space="0" w:color="auto"/>
        <w:bottom w:val="none" w:sz="0" w:space="0" w:color="auto"/>
        <w:right w:val="none" w:sz="0" w:space="0" w:color="auto"/>
      </w:divBdr>
    </w:div>
    <w:div w:id="414280503">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2765235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207598">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46000098">
      <w:bodyDiv w:val="1"/>
      <w:marLeft w:val="0"/>
      <w:marRight w:val="0"/>
      <w:marTop w:val="0"/>
      <w:marBottom w:val="0"/>
      <w:divBdr>
        <w:top w:val="none" w:sz="0" w:space="0" w:color="auto"/>
        <w:left w:val="none" w:sz="0" w:space="0" w:color="auto"/>
        <w:bottom w:val="none" w:sz="0" w:space="0" w:color="auto"/>
        <w:right w:val="none" w:sz="0" w:space="0" w:color="auto"/>
      </w:divBdr>
    </w:div>
    <w:div w:id="45012901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58576537">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1412497">
      <w:bodyDiv w:val="1"/>
      <w:marLeft w:val="0"/>
      <w:marRight w:val="0"/>
      <w:marTop w:val="0"/>
      <w:marBottom w:val="0"/>
      <w:divBdr>
        <w:top w:val="none" w:sz="0" w:space="0" w:color="auto"/>
        <w:left w:val="none" w:sz="0" w:space="0" w:color="auto"/>
        <w:bottom w:val="none" w:sz="0" w:space="0" w:color="auto"/>
        <w:right w:val="none" w:sz="0" w:space="0" w:color="auto"/>
      </w:divBdr>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89832310">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157311528">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 w:id="449399322">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7966213">
      <w:bodyDiv w:val="1"/>
      <w:marLeft w:val="0"/>
      <w:marRight w:val="0"/>
      <w:marTop w:val="0"/>
      <w:marBottom w:val="0"/>
      <w:divBdr>
        <w:top w:val="none" w:sz="0" w:space="0" w:color="auto"/>
        <w:left w:val="none" w:sz="0" w:space="0" w:color="auto"/>
        <w:bottom w:val="none" w:sz="0" w:space="0" w:color="auto"/>
        <w:right w:val="none" w:sz="0" w:space="0" w:color="auto"/>
      </w:divBdr>
    </w:div>
    <w:div w:id="498544067">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830089">
      <w:bodyDiv w:val="1"/>
      <w:marLeft w:val="0"/>
      <w:marRight w:val="0"/>
      <w:marTop w:val="0"/>
      <w:marBottom w:val="0"/>
      <w:divBdr>
        <w:top w:val="none" w:sz="0" w:space="0" w:color="auto"/>
        <w:left w:val="none" w:sz="0" w:space="0" w:color="auto"/>
        <w:bottom w:val="none" w:sz="0" w:space="0" w:color="auto"/>
        <w:right w:val="none" w:sz="0" w:space="0" w:color="auto"/>
      </w:divBdr>
    </w:div>
    <w:div w:id="524901685">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29682313">
      <w:bodyDiv w:val="1"/>
      <w:marLeft w:val="0"/>
      <w:marRight w:val="0"/>
      <w:marTop w:val="0"/>
      <w:marBottom w:val="0"/>
      <w:divBdr>
        <w:top w:val="none" w:sz="0" w:space="0" w:color="auto"/>
        <w:left w:val="none" w:sz="0" w:space="0" w:color="auto"/>
        <w:bottom w:val="none" w:sz="0" w:space="0" w:color="auto"/>
        <w:right w:val="none" w:sz="0" w:space="0" w:color="auto"/>
      </w:divBdr>
    </w:div>
    <w:div w:id="534192366">
      <w:bodyDiv w:val="1"/>
      <w:marLeft w:val="0"/>
      <w:marRight w:val="0"/>
      <w:marTop w:val="0"/>
      <w:marBottom w:val="0"/>
      <w:divBdr>
        <w:top w:val="none" w:sz="0" w:space="0" w:color="auto"/>
        <w:left w:val="none" w:sz="0" w:space="0" w:color="auto"/>
        <w:bottom w:val="none" w:sz="0" w:space="0" w:color="auto"/>
        <w:right w:val="none" w:sz="0" w:space="0" w:color="auto"/>
      </w:divBdr>
    </w:div>
    <w:div w:id="537208386">
      <w:bodyDiv w:val="1"/>
      <w:marLeft w:val="0"/>
      <w:marRight w:val="0"/>
      <w:marTop w:val="0"/>
      <w:marBottom w:val="0"/>
      <w:divBdr>
        <w:top w:val="none" w:sz="0" w:space="0" w:color="auto"/>
        <w:left w:val="none" w:sz="0" w:space="0" w:color="auto"/>
        <w:bottom w:val="none" w:sz="0" w:space="0" w:color="auto"/>
        <w:right w:val="none" w:sz="0" w:space="0" w:color="auto"/>
      </w:divBdr>
    </w:div>
    <w:div w:id="537350457">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69095528">
                  <w:marLeft w:val="0"/>
                  <w:marRight w:val="0"/>
                  <w:marTop w:val="0"/>
                  <w:marBottom w:val="0"/>
                  <w:divBdr>
                    <w:top w:val="none" w:sz="0" w:space="0" w:color="auto"/>
                    <w:left w:val="none" w:sz="0" w:space="0" w:color="auto"/>
                    <w:bottom w:val="none" w:sz="0" w:space="0" w:color="auto"/>
                    <w:right w:val="none" w:sz="0" w:space="0" w:color="auto"/>
                  </w:divBdr>
                </w:div>
                <w:div w:id="270548660">
                  <w:marLeft w:val="0"/>
                  <w:marRight w:val="0"/>
                  <w:marTop w:val="0"/>
                  <w:marBottom w:val="0"/>
                  <w:divBdr>
                    <w:top w:val="none" w:sz="0" w:space="0" w:color="auto"/>
                    <w:left w:val="none" w:sz="0" w:space="0" w:color="auto"/>
                    <w:bottom w:val="none" w:sz="0" w:space="0" w:color="auto"/>
                    <w:right w:val="none" w:sz="0" w:space="0" w:color="auto"/>
                  </w:divBdr>
                  <w:divsChild>
                    <w:div w:id="384456507">
                      <w:marLeft w:val="0"/>
                      <w:marRight w:val="0"/>
                      <w:marTop w:val="0"/>
                      <w:marBottom w:val="0"/>
                      <w:divBdr>
                        <w:top w:val="none" w:sz="0" w:space="0" w:color="auto"/>
                        <w:left w:val="none" w:sz="0" w:space="0" w:color="auto"/>
                        <w:bottom w:val="none" w:sz="0" w:space="0" w:color="auto"/>
                        <w:right w:val="none" w:sz="0" w:space="0" w:color="auto"/>
                      </w:divBdr>
                    </w:div>
                    <w:div w:id="10289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3553">
          <w:marLeft w:val="0"/>
          <w:marRight w:val="83"/>
          <w:marTop w:val="0"/>
          <w:marBottom w:val="0"/>
          <w:divBdr>
            <w:top w:val="none" w:sz="0" w:space="0" w:color="auto"/>
            <w:left w:val="none" w:sz="0" w:space="0" w:color="auto"/>
            <w:bottom w:val="none" w:sz="0" w:space="0" w:color="auto"/>
            <w:right w:val="none" w:sz="0" w:space="0" w:color="auto"/>
          </w:divBdr>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49923105">
      <w:bodyDiv w:val="1"/>
      <w:marLeft w:val="0"/>
      <w:marRight w:val="0"/>
      <w:marTop w:val="0"/>
      <w:marBottom w:val="0"/>
      <w:divBdr>
        <w:top w:val="none" w:sz="0" w:space="0" w:color="auto"/>
        <w:left w:val="none" w:sz="0" w:space="0" w:color="auto"/>
        <w:bottom w:val="none" w:sz="0" w:space="0" w:color="auto"/>
        <w:right w:val="none" w:sz="0" w:space="0" w:color="auto"/>
      </w:divBdr>
    </w:div>
    <w:div w:id="55312547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316833">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1020734">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78249620">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5962020">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1007830">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598761651">
      <w:bodyDiv w:val="1"/>
      <w:marLeft w:val="0"/>
      <w:marRight w:val="0"/>
      <w:marTop w:val="0"/>
      <w:marBottom w:val="0"/>
      <w:divBdr>
        <w:top w:val="none" w:sz="0" w:space="0" w:color="auto"/>
        <w:left w:val="none" w:sz="0" w:space="0" w:color="auto"/>
        <w:bottom w:val="none" w:sz="0" w:space="0" w:color="auto"/>
        <w:right w:val="none" w:sz="0" w:space="0" w:color="auto"/>
      </w:divBdr>
    </w:div>
    <w:div w:id="598872315">
      <w:bodyDiv w:val="1"/>
      <w:marLeft w:val="0"/>
      <w:marRight w:val="0"/>
      <w:marTop w:val="0"/>
      <w:marBottom w:val="0"/>
      <w:divBdr>
        <w:top w:val="none" w:sz="0" w:space="0" w:color="auto"/>
        <w:left w:val="none" w:sz="0" w:space="0" w:color="auto"/>
        <w:bottom w:val="none" w:sz="0" w:space="0" w:color="auto"/>
        <w:right w:val="none" w:sz="0" w:space="0" w:color="auto"/>
      </w:divBdr>
    </w:div>
    <w:div w:id="599457875">
      <w:bodyDiv w:val="1"/>
      <w:marLeft w:val="0"/>
      <w:marRight w:val="0"/>
      <w:marTop w:val="0"/>
      <w:marBottom w:val="0"/>
      <w:divBdr>
        <w:top w:val="none" w:sz="0" w:space="0" w:color="auto"/>
        <w:left w:val="none" w:sz="0" w:space="0" w:color="auto"/>
        <w:bottom w:val="none" w:sz="0" w:space="0" w:color="auto"/>
        <w:right w:val="none" w:sz="0" w:space="0" w:color="auto"/>
      </w:divBdr>
    </w:div>
    <w:div w:id="602809601">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12129210">
      <w:bodyDiv w:val="1"/>
      <w:marLeft w:val="0"/>
      <w:marRight w:val="0"/>
      <w:marTop w:val="0"/>
      <w:marBottom w:val="0"/>
      <w:divBdr>
        <w:top w:val="none" w:sz="0" w:space="0" w:color="auto"/>
        <w:left w:val="none" w:sz="0" w:space="0" w:color="auto"/>
        <w:bottom w:val="none" w:sz="0" w:space="0" w:color="auto"/>
        <w:right w:val="none" w:sz="0" w:space="0" w:color="auto"/>
      </w:divBdr>
    </w:div>
    <w:div w:id="612976623">
      <w:bodyDiv w:val="1"/>
      <w:marLeft w:val="0"/>
      <w:marRight w:val="0"/>
      <w:marTop w:val="0"/>
      <w:marBottom w:val="0"/>
      <w:divBdr>
        <w:top w:val="none" w:sz="0" w:space="0" w:color="auto"/>
        <w:left w:val="none" w:sz="0" w:space="0" w:color="auto"/>
        <w:bottom w:val="none" w:sz="0" w:space="0" w:color="auto"/>
        <w:right w:val="none" w:sz="0" w:space="0" w:color="auto"/>
      </w:divBdr>
    </w:div>
    <w:div w:id="615261478">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2342368">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27055550">
      <w:bodyDiv w:val="1"/>
      <w:marLeft w:val="0"/>
      <w:marRight w:val="0"/>
      <w:marTop w:val="0"/>
      <w:marBottom w:val="0"/>
      <w:divBdr>
        <w:top w:val="none" w:sz="0" w:space="0" w:color="auto"/>
        <w:left w:val="none" w:sz="0" w:space="0" w:color="auto"/>
        <w:bottom w:val="none" w:sz="0" w:space="0" w:color="auto"/>
        <w:right w:val="none" w:sz="0" w:space="0" w:color="auto"/>
      </w:divBdr>
    </w:div>
    <w:div w:id="631136785">
      <w:bodyDiv w:val="1"/>
      <w:marLeft w:val="0"/>
      <w:marRight w:val="0"/>
      <w:marTop w:val="0"/>
      <w:marBottom w:val="0"/>
      <w:divBdr>
        <w:top w:val="none" w:sz="0" w:space="0" w:color="auto"/>
        <w:left w:val="none" w:sz="0" w:space="0" w:color="auto"/>
        <w:bottom w:val="none" w:sz="0" w:space="0" w:color="auto"/>
        <w:right w:val="none" w:sz="0" w:space="0" w:color="auto"/>
      </w:divBdr>
    </w:div>
    <w:div w:id="633365728">
      <w:bodyDiv w:val="1"/>
      <w:marLeft w:val="0"/>
      <w:marRight w:val="0"/>
      <w:marTop w:val="0"/>
      <w:marBottom w:val="0"/>
      <w:divBdr>
        <w:top w:val="none" w:sz="0" w:space="0" w:color="auto"/>
        <w:left w:val="none" w:sz="0" w:space="0" w:color="auto"/>
        <w:bottom w:val="none" w:sz="0" w:space="0" w:color="auto"/>
        <w:right w:val="none" w:sz="0" w:space="0" w:color="auto"/>
      </w:divBdr>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3081118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450979554">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184560430">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2027704512">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1124689945">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47464650">
                  <w:marLeft w:val="0"/>
                  <w:marRight w:val="0"/>
                  <w:marTop w:val="0"/>
                  <w:marBottom w:val="0"/>
                  <w:divBdr>
                    <w:top w:val="none" w:sz="0" w:space="0" w:color="auto"/>
                    <w:left w:val="none" w:sz="0" w:space="0" w:color="auto"/>
                    <w:bottom w:val="none" w:sz="0" w:space="0" w:color="auto"/>
                    <w:right w:val="none" w:sz="0" w:space="0" w:color="auto"/>
                  </w:divBdr>
                </w:div>
                <w:div w:id="147789651">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4236478">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1648048802">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5350888">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 w:id="1734280448">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25259313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852722860">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01926158">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1879319389">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027522">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2002059">
      <w:bodyDiv w:val="1"/>
      <w:marLeft w:val="0"/>
      <w:marRight w:val="0"/>
      <w:marTop w:val="0"/>
      <w:marBottom w:val="0"/>
      <w:divBdr>
        <w:top w:val="none" w:sz="0" w:space="0" w:color="auto"/>
        <w:left w:val="none" w:sz="0" w:space="0" w:color="auto"/>
        <w:bottom w:val="none" w:sz="0" w:space="0" w:color="auto"/>
        <w:right w:val="none" w:sz="0" w:space="0" w:color="auto"/>
      </w:divBdr>
    </w:div>
    <w:div w:id="645083779">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4144417">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622804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58851007">
      <w:bodyDiv w:val="1"/>
      <w:marLeft w:val="0"/>
      <w:marRight w:val="0"/>
      <w:marTop w:val="0"/>
      <w:marBottom w:val="0"/>
      <w:divBdr>
        <w:top w:val="none" w:sz="0" w:space="0" w:color="auto"/>
        <w:left w:val="none" w:sz="0" w:space="0" w:color="auto"/>
        <w:bottom w:val="none" w:sz="0" w:space="0" w:color="auto"/>
        <w:right w:val="none" w:sz="0" w:space="0" w:color="auto"/>
      </w:divBdr>
    </w:div>
    <w:div w:id="659044265">
      <w:bodyDiv w:val="1"/>
      <w:marLeft w:val="0"/>
      <w:marRight w:val="0"/>
      <w:marTop w:val="0"/>
      <w:marBottom w:val="0"/>
      <w:divBdr>
        <w:top w:val="none" w:sz="0" w:space="0" w:color="auto"/>
        <w:left w:val="none" w:sz="0" w:space="0" w:color="auto"/>
        <w:bottom w:val="none" w:sz="0" w:space="0" w:color="auto"/>
        <w:right w:val="none" w:sz="0" w:space="0" w:color="auto"/>
      </w:divBdr>
    </w:div>
    <w:div w:id="666632604">
      <w:bodyDiv w:val="1"/>
      <w:marLeft w:val="0"/>
      <w:marRight w:val="0"/>
      <w:marTop w:val="0"/>
      <w:marBottom w:val="0"/>
      <w:divBdr>
        <w:top w:val="none" w:sz="0" w:space="0" w:color="auto"/>
        <w:left w:val="none" w:sz="0" w:space="0" w:color="auto"/>
        <w:bottom w:val="none" w:sz="0" w:space="0" w:color="auto"/>
        <w:right w:val="none" w:sz="0" w:space="0" w:color="auto"/>
      </w:divBdr>
    </w:div>
    <w:div w:id="669910434">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0987982">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4580015">
      <w:bodyDiv w:val="1"/>
      <w:marLeft w:val="0"/>
      <w:marRight w:val="0"/>
      <w:marTop w:val="0"/>
      <w:marBottom w:val="0"/>
      <w:divBdr>
        <w:top w:val="none" w:sz="0" w:space="0" w:color="auto"/>
        <w:left w:val="none" w:sz="0" w:space="0" w:color="auto"/>
        <w:bottom w:val="none" w:sz="0" w:space="0" w:color="auto"/>
        <w:right w:val="none" w:sz="0" w:space="0" w:color="auto"/>
      </w:divBdr>
    </w:div>
    <w:div w:id="675691638">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83165797">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3389355">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17459">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08528027">
      <w:bodyDiv w:val="1"/>
      <w:marLeft w:val="0"/>
      <w:marRight w:val="0"/>
      <w:marTop w:val="0"/>
      <w:marBottom w:val="0"/>
      <w:divBdr>
        <w:top w:val="none" w:sz="0" w:space="0" w:color="auto"/>
        <w:left w:val="none" w:sz="0" w:space="0" w:color="auto"/>
        <w:bottom w:val="none" w:sz="0" w:space="0" w:color="auto"/>
        <w:right w:val="none" w:sz="0" w:space="0" w:color="auto"/>
      </w:divBdr>
    </w:div>
    <w:div w:id="709838213">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2535069">
      <w:bodyDiv w:val="1"/>
      <w:marLeft w:val="0"/>
      <w:marRight w:val="0"/>
      <w:marTop w:val="0"/>
      <w:marBottom w:val="0"/>
      <w:divBdr>
        <w:top w:val="none" w:sz="0" w:space="0" w:color="auto"/>
        <w:left w:val="none" w:sz="0" w:space="0" w:color="auto"/>
        <w:bottom w:val="none" w:sz="0" w:space="0" w:color="auto"/>
        <w:right w:val="none" w:sz="0" w:space="0" w:color="auto"/>
      </w:divBdr>
    </w:div>
    <w:div w:id="712536395">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6148941">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310058828">
          <w:marLeft w:val="0"/>
          <w:marRight w:val="0"/>
          <w:marTop w:val="0"/>
          <w:marBottom w:val="0"/>
          <w:divBdr>
            <w:top w:val="none" w:sz="0" w:space="0" w:color="auto"/>
            <w:left w:val="none" w:sz="0" w:space="0" w:color="auto"/>
            <w:bottom w:val="none" w:sz="0" w:space="0" w:color="auto"/>
            <w:right w:val="none" w:sz="0" w:space="0" w:color="auto"/>
          </w:divBdr>
        </w:div>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29814382">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2775958">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5469359">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3912750">
      <w:bodyDiv w:val="1"/>
      <w:marLeft w:val="0"/>
      <w:marRight w:val="0"/>
      <w:marTop w:val="0"/>
      <w:marBottom w:val="0"/>
      <w:divBdr>
        <w:top w:val="none" w:sz="0" w:space="0" w:color="auto"/>
        <w:left w:val="none" w:sz="0" w:space="0" w:color="auto"/>
        <w:bottom w:val="none" w:sz="0" w:space="0" w:color="auto"/>
        <w:right w:val="none" w:sz="0" w:space="0" w:color="auto"/>
      </w:divBdr>
    </w:div>
    <w:div w:id="744834844">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49812261">
      <w:bodyDiv w:val="1"/>
      <w:marLeft w:val="0"/>
      <w:marRight w:val="0"/>
      <w:marTop w:val="0"/>
      <w:marBottom w:val="0"/>
      <w:divBdr>
        <w:top w:val="none" w:sz="0" w:space="0" w:color="auto"/>
        <w:left w:val="none" w:sz="0" w:space="0" w:color="auto"/>
        <w:bottom w:val="none" w:sz="0" w:space="0" w:color="auto"/>
        <w:right w:val="none" w:sz="0" w:space="0" w:color="auto"/>
      </w:divBdr>
    </w:div>
    <w:div w:id="750079815">
      <w:bodyDiv w:val="1"/>
      <w:marLeft w:val="0"/>
      <w:marRight w:val="0"/>
      <w:marTop w:val="0"/>
      <w:marBottom w:val="0"/>
      <w:divBdr>
        <w:top w:val="none" w:sz="0" w:space="0" w:color="auto"/>
        <w:left w:val="none" w:sz="0" w:space="0" w:color="auto"/>
        <w:bottom w:val="none" w:sz="0" w:space="0" w:color="auto"/>
        <w:right w:val="none" w:sz="0" w:space="0" w:color="auto"/>
      </w:divBdr>
    </w:div>
    <w:div w:id="750852043">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8409379">
      <w:bodyDiv w:val="1"/>
      <w:marLeft w:val="0"/>
      <w:marRight w:val="0"/>
      <w:marTop w:val="0"/>
      <w:marBottom w:val="0"/>
      <w:divBdr>
        <w:top w:val="none" w:sz="0" w:space="0" w:color="auto"/>
        <w:left w:val="none" w:sz="0" w:space="0" w:color="auto"/>
        <w:bottom w:val="none" w:sz="0" w:space="0" w:color="auto"/>
        <w:right w:val="none" w:sz="0" w:space="0" w:color="auto"/>
      </w:divBdr>
    </w:div>
    <w:div w:id="759721321">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5073110">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757749">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1148484">
      <w:bodyDiv w:val="1"/>
      <w:marLeft w:val="0"/>
      <w:marRight w:val="0"/>
      <w:marTop w:val="0"/>
      <w:marBottom w:val="0"/>
      <w:divBdr>
        <w:top w:val="none" w:sz="0" w:space="0" w:color="auto"/>
        <w:left w:val="none" w:sz="0" w:space="0" w:color="auto"/>
        <w:bottom w:val="none" w:sz="0" w:space="0" w:color="auto"/>
        <w:right w:val="none" w:sz="0" w:space="0" w:color="auto"/>
      </w:divBdr>
    </w:div>
    <w:div w:id="781807287">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5319690">
      <w:bodyDiv w:val="1"/>
      <w:marLeft w:val="0"/>
      <w:marRight w:val="0"/>
      <w:marTop w:val="0"/>
      <w:marBottom w:val="0"/>
      <w:divBdr>
        <w:top w:val="none" w:sz="0" w:space="0" w:color="auto"/>
        <w:left w:val="none" w:sz="0" w:space="0" w:color="auto"/>
        <w:bottom w:val="none" w:sz="0" w:space="0" w:color="auto"/>
        <w:right w:val="none" w:sz="0" w:space="0" w:color="auto"/>
      </w:divBdr>
    </w:div>
    <w:div w:id="788012288">
      <w:bodyDiv w:val="1"/>
      <w:marLeft w:val="0"/>
      <w:marRight w:val="0"/>
      <w:marTop w:val="0"/>
      <w:marBottom w:val="0"/>
      <w:divBdr>
        <w:top w:val="none" w:sz="0" w:space="0" w:color="auto"/>
        <w:left w:val="none" w:sz="0" w:space="0" w:color="auto"/>
        <w:bottom w:val="none" w:sz="0" w:space="0" w:color="auto"/>
        <w:right w:val="none" w:sz="0" w:space="0" w:color="auto"/>
      </w:divBdr>
    </w:div>
    <w:div w:id="788203559">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1442220">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796024210">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6506585">
      <w:bodyDiv w:val="1"/>
      <w:marLeft w:val="0"/>
      <w:marRight w:val="0"/>
      <w:marTop w:val="0"/>
      <w:marBottom w:val="0"/>
      <w:divBdr>
        <w:top w:val="none" w:sz="0" w:space="0" w:color="auto"/>
        <w:left w:val="none" w:sz="0" w:space="0" w:color="auto"/>
        <w:bottom w:val="none" w:sz="0" w:space="0" w:color="auto"/>
        <w:right w:val="none" w:sz="0" w:space="0" w:color="auto"/>
      </w:divBdr>
    </w:div>
    <w:div w:id="807669049">
      <w:bodyDiv w:val="1"/>
      <w:marLeft w:val="0"/>
      <w:marRight w:val="0"/>
      <w:marTop w:val="0"/>
      <w:marBottom w:val="0"/>
      <w:divBdr>
        <w:top w:val="none" w:sz="0" w:space="0" w:color="auto"/>
        <w:left w:val="none" w:sz="0" w:space="0" w:color="auto"/>
        <w:bottom w:val="none" w:sz="0" w:space="0" w:color="auto"/>
        <w:right w:val="none" w:sz="0" w:space="0" w:color="auto"/>
      </w:divBdr>
    </w:div>
    <w:div w:id="807823596">
      <w:bodyDiv w:val="1"/>
      <w:marLeft w:val="0"/>
      <w:marRight w:val="0"/>
      <w:marTop w:val="0"/>
      <w:marBottom w:val="0"/>
      <w:divBdr>
        <w:top w:val="none" w:sz="0" w:space="0" w:color="auto"/>
        <w:left w:val="none" w:sz="0" w:space="0" w:color="auto"/>
        <w:bottom w:val="none" w:sz="0" w:space="0" w:color="auto"/>
        <w:right w:val="none" w:sz="0" w:space="0" w:color="auto"/>
      </w:divBdr>
    </w:div>
    <w:div w:id="808130032">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596058">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18881492">
      <w:bodyDiv w:val="1"/>
      <w:marLeft w:val="0"/>
      <w:marRight w:val="0"/>
      <w:marTop w:val="0"/>
      <w:marBottom w:val="0"/>
      <w:divBdr>
        <w:top w:val="none" w:sz="0" w:space="0" w:color="auto"/>
        <w:left w:val="none" w:sz="0" w:space="0" w:color="auto"/>
        <w:bottom w:val="none" w:sz="0" w:space="0" w:color="auto"/>
        <w:right w:val="none" w:sz="0" w:space="0" w:color="auto"/>
      </w:divBdr>
    </w:div>
    <w:div w:id="820777052">
      <w:bodyDiv w:val="1"/>
      <w:marLeft w:val="0"/>
      <w:marRight w:val="0"/>
      <w:marTop w:val="0"/>
      <w:marBottom w:val="0"/>
      <w:divBdr>
        <w:top w:val="none" w:sz="0" w:space="0" w:color="auto"/>
        <w:left w:val="none" w:sz="0" w:space="0" w:color="auto"/>
        <w:bottom w:val="none" w:sz="0" w:space="0" w:color="auto"/>
        <w:right w:val="none" w:sz="0" w:space="0" w:color="auto"/>
      </w:divBdr>
    </w:div>
    <w:div w:id="821390066">
      <w:bodyDiv w:val="1"/>
      <w:marLeft w:val="0"/>
      <w:marRight w:val="0"/>
      <w:marTop w:val="0"/>
      <w:marBottom w:val="0"/>
      <w:divBdr>
        <w:top w:val="none" w:sz="0" w:space="0" w:color="auto"/>
        <w:left w:val="none" w:sz="0" w:space="0" w:color="auto"/>
        <w:bottom w:val="none" w:sz="0" w:space="0" w:color="auto"/>
        <w:right w:val="none" w:sz="0" w:space="0" w:color="auto"/>
      </w:divBdr>
    </w:div>
    <w:div w:id="822159446">
      <w:bodyDiv w:val="1"/>
      <w:marLeft w:val="0"/>
      <w:marRight w:val="0"/>
      <w:marTop w:val="0"/>
      <w:marBottom w:val="0"/>
      <w:divBdr>
        <w:top w:val="none" w:sz="0" w:space="0" w:color="auto"/>
        <w:left w:val="none" w:sz="0" w:space="0" w:color="auto"/>
        <w:bottom w:val="none" w:sz="0" w:space="0" w:color="auto"/>
        <w:right w:val="none" w:sz="0" w:space="0" w:color="auto"/>
      </w:divBdr>
    </w:div>
    <w:div w:id="823741043">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37812912">
      <w:bodyDiv w:val="1"/>
      <w:marLeft w:val="0"/>
      <w:marRight w:val="0"/>
      <w:marTop w:val="0"/>
      <w:marBottom w:val="0"/>
      <w:divBdr>
        <w:top w:val="none" w:sz="0" w:space="0" w:color="auto"/>
        <w:left w:val="none" w:sz="0" w:space="0" w:color="auto"/>
        <w:bottom w:val="none" w:sz="0" w:space="0" w:color="auto"/>
        <w:right w:val="none" w:sz="0" w:space="0" w:color="auto"/>
      </w:divBdr>
    </w:div>
    <w:div w:id="841555190">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0072084">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57158169">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146020952">
          <w:marLeft w:val="0"/>
          <w:marRight w:val="0"/>
          <w:marTop w:val="0"/>
          <w:marBottom w:val="0"/>
          <w:divBdr>
            <w:top w:val="none" w:sz="0" w:space="0" w:color="auto"/>
            <w:left w:val="none" w:sz="0" w:space="0" w:color="auto"/>
            <w:bottom w:val="none" w:sz="0" w:space="0" w:color="auto"/>
            <w:right w:val="none" w:sz="0" w:space="0" w:color="auto"/>
          </w:divBdr>
        </w:div>
        <w:div w:id="956763086">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68957272">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110735">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3754204">
      <w:bodyDiv w:val="1"/>
      <w:marLeft w:val="0"/>
      <w:marRight w:val="0"/>
      <w:marTop w:val="0"/>
      <w:marBottom w:val="0"/>
      <w:divBdr>
        <w:top w:val="none" w:sz="0" w:space="0" w:color="auto"/>
        <w:left w:val="none" w:sz="0" w:space="0" w:color="auto"/>
        <w:bottom w:val="none" w:sz="0" w:space="0" w:color="auto"/>
        <w:right w:val="none" w:sz="0" w:space="0" w:color="auto"/>
      </w:divBdr>
    </w:div>
    <w:div w:id="887648328">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5699133">
      <w:bodyDiv w:val="1"/>
      <w:marLeft w:val="0"/>
      <w:marRight w:val="0"/>
      <w:marTop w:val="0"/>
      <w:marBottom w:val="0"/>
      <w:divBdr>
        <w:top w:val="none" w:sz="0" w:space="0" w:color="auto"/>
        <w:left w:val="none" w:sz="0" w:space="0" w:color="auto"/>
        <w:bottom w:val="none" w:sz="0" w:space="0" w:color="auto"/>
        <w:right w:val="none" w:sz="0" w:space="0" w:color="auto"/>
      </w:divBdr>
    </w:div>
    <w:div w:id="895966549">
      <w:bodyDiv w:val="1"/>
      <w:marLeft w:val="0"/>
      <w:marRight w:val="0"/>
      <w:marTop w:val="0"/>
      <w:marBottom w:val="0"/>
      <w:divBdr>
        <w:top w:val="none" w:sz="0" w:space="0" w:color="auto"/>
        <w:left w:val="none" w:sz="0" w:space="0" w:color="auto"/>
        <w:bottom w:val="none" w:sz="0" w:space="0" w:color="auto"/>
        <w:right w:val="none" w:sz="0" w:space="0" w:color="auto"/>
      </w:divBdr>
    </w:div>
    <w:div w:id="896746409">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485646">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18708951">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1255761">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83109269">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580868942">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92821528">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1609042464">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152528800">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2068524794">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55864487">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949119219">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92287336">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2062946786">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788308">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482769640">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114253285">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315762454">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45881440">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203256245">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7052832">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166091187">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20208135">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10480687">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4730022">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49745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28126346">
      <w:bodyDiv w:val="1"/>
      <w:marLeft w:val="0"/>
      <w:marRight w:val="0"/>
      <w:marTop w:val="0"/>
      <w:marBottom w:val="0"/>
      <w:divBdr>
        <w:top w:val="none" w:sz="0" w:space="0" w:color="auto"/>
        <w:left w:val="none" w:sz="0" w:space="0" w:color="auto"/>
        <w:bottom w:val="none" w:sz="0" w:space="0" w:color="auto"/>
        <w:right w:val="none" w:sz="0" w:space="0" w:color="auto"/>
      </w:divBdr>
    </w:div>
    <w:div w:id="932936002">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3807375">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67206849">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3481543">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77495012">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663416">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994987430">
      <w:bodyDiv w:val="1"/>
      <w:marLeft w:val="0"/>
      <w:marRight w:val="0"/>
      <w:marTop w:val="0"/>
      <w:marBottom w:val="0"/>
      <w:divBdr>
        <w:top w:val="none" w:sz="0" w:space="0" w:color="auto"/>
        <w:left w:val="none" w:sz="0" w:space="0" w:color="auto"/>
        <w:bottom w:val="none" w:sz="0" w:space="0" w:color="auto"/>
        <w:right w:val="none" w:sz="0" w:space="0" w:color="auto"/>
      </w:divBdr>
    </w:div>
    <w:div w:id="996693425">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6736718">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6177838">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7871164">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1490450">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700882">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1396499">
      <w:bodyDiv w:val="1"/>
      <w:marLeft w:val="0"/>
      <w:marRight w:val="0"/>
      <w:marTop w:val="0"/>
      <w:marBottom w:val="0"/>
      <w:divBdr>
        <w:top w:val="none" w:sz="0" w:space="0" w:color="auto"/>
        <w:left w:val="none" w:sz="0" w:space="0" w:color="auto"/>
        <w:bottom w:val="none" w:sz="0" w:space="0" w:color="auto"/>
        <w:right w:val="none" w:sz="0" w:space="0" w:color="auto"/>
      </w:divBdr>
    </w:div>
    <w:div w:id="1044327740">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48722787">
      <w:bodyDiv w:val="1"/>
      <w:marLeft w:val="0"/>
      <w:marRight w:val="0"/>
      <w:marTop w:val="0"/>
      <w:marBottom w:val="0"/>
      <w:divBdr>
        <w:top w:val="none" w:sz="0" w:space="0" w:color="auto"/>
        <w:left w:val="none" w:sz="0" w:space="0" w:color="auto"/>
        <w:bottom w:val="none" w:sz="0" w:space="0" w:color="auto"/>
        <w:right w:val="none" w:sz="0" w:space="0" w:color="auto"/>
      </w:divBdr>
    </w:div>
    <w:div w:id="1051147281">
      <w:bodyDiv w:val="1"/>
      <w:marLeft w:val="0"/>
      <w:marRight w:val="0"/>
      <w:marTop w:val="0"/>
      <w:marBottom w:val="0"/>
      <w:divBdr>
        <w:top w:val="none" w:sz="0" w:space="0" w:color="auto"/>
        <w:left w:val="none" w:sz="0" w:space="0" w:color="auto"/>
        <w:bottom w:val="none" w:sz="0" w:space="0" w:color="auto"/>
        <w:right w:val="none" w:sz="0" w:space="0" w:color="auto"/>
      </w:divBdr>
    </w:div>
    <w:div w:id="1051147955">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53773321">
      <w:bodyDiv w:val="1"/>
      <w:marLeft w:val="0"/>
      <w:marRight w:val="0"/>
      <w:marTop w:val="0"/>
      <w:marBottom w:val="0"/>
      <w:divBdr>
        <w:top w:val="none" w:sz="0" w:space="0" w:color="auto"/>
        <w:left w:val="none" w:sz="0" w:space="0" w:color="auto"/>
        <w:bottom w:val="none" w:sz="0" w:space="0" w:color="auto"/>
        <w:right w:val="none" w:sz="0" w:space="0" w:color="auto"/>
      </w:divBdr>
    </w:div>
    <w:div w:id="1054355235">
      <w:bodyDiv w:val="1"/>
      <w:marLeft w:val="0"/>
      <w:marRight w:val="0"/>
      <w:marTop w:val="0"/>
      <w:marBottom w:val="0"/>
      <w:divBdr>
        <w:top w:val="none" w:sz="0" w:space="0" w:color="auto"/>
        <w:left w:val="none" w:sz="0" w:space="0" w:color="auto"/>
        <w:bottom w:val="none" w:sz="0" w:space="0" w:color="auto"/>
        <w:right w:val="none" w:sz="0" w:space="0" w:color="auto"/>
      </w:divBdr>
    </w:div>
    <w:div w:id="1057821631">
      <w:bodyDiv w:val="1"/>
      <w:marLeft w:val="0"/>
      <w:marRight w:val="0"/>
      <w:marTop w:val="0"/>
      <w:marBottom w:val="0"/>
      <w:divBdr>
        <w:top w:val="none" w:sz="0" w:space="0" w:color="auto"/>
        <w:left w:val="none" w:sz="0" w:space="0" w:color="auto"/>
        <w:bottom w:val="none" w:sz="0" w:space="0" w:color="auto"/>
        <w:right w:val="none" w:sz="0" w:space="0" w:color="auto"/>
      </w:divBdr>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67070507">
      <w:bodyDiv w:val="1"/>
      <w:marLeft w:val="0"/>
      <w:marRight w:val="0"/>
      <w:marTop w:val="0"/>
      <w:marBottom w:val="0"/>
      <w:divBdr>
        <w:top w:val="none" w:sz="0" w:space="0" w:color="auto"/>
        <w:left w:val="none" w:sz="0" w:space="0" w:color="auto"/>
        <w:bottom w:val="none" w:sz="0" w:space="0" w:color="auto"/>
        <w:right w:val="none" w:sz="0" w:space="0" w:color="auto"/>
      </w:divBdr>
    </w:div>
    <w:div w:id="1068458196">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509800">
      <w:bodyDiv w:val="1"/>
      <w:marLeft w:val="0"/>
      <w:marRight w:val="0"/>
      <w:marTop w:val="0"/>
      <w:marBottom w:val="0"/>
      <w:divBdr>
        <w:top w:val="none" w:sz="0" w:space="0" w:color="auto"/>
        <w:left w:val="none" w:sz="0" w:space="0" w:color="auto"/>
        <w:bottom w:val="none" w:sz="0" w:space="0" w:color="auto"/>
        <w:right w:val="none" w:sz="0" w:space="0" w:color="auto"/>
      </w:divBdr>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203797">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099358">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5416697">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26910">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7078295">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2432836">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099594802">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2188616">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1321333">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9499">
          <w:marLeft w:val="0"/>
          <w:marRight w:val="0"/>
          <w:marTop w:val="0"/>
          <w:marBottom w:val="0"/>
          <w:divBdr>
            <w:top w:val="none" w:sz="0" w:space="0" w:color="auto"/>
            <w:left w:val="none" w:sz="0" w:space="0" w:color="auto"/>
            <w:bottom w:val="none" w:sz="0" w:space="0" w:color="auto"/>
            <w:right w:val="none" w:sz="0" w:space="0" w:color="auto"/>
          </w:divBdr>
        </w:div>
      </w:divsChild>
    </w:div>
    <w:div w:id="1120685110">
      <w:bodyDiv w:val="1"/>
      <w:marLeft w:val="0"/>
      <w:marRight w:val="0"/>
      <w:marTop w:val="0"/>
      <w:marBottom w:val="0"/>
      <w:divBdr>
        <w:top w:val="none" w:sz="0" w:space="0" w:color="auto"/>
        <w:left w:val="none" w:sz="0" w:space="0" w:color="auto"/>
        <w:bottom w:val="none" w:sz="0" w:space="0" w:color="auto"/>
        <w:right w:val="none" w:sz="0" w:space="0" w:color="auto"/>
      </w:divBdr>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26895789">
      <w:bodyDiv w:val="1"/>
      <w:marLeft w:val="0"/>
      <w:marRight w:val="0"/>
      <w:marTop w:val="0"/>
      <w:marBottom w:val="0"/>
      <w:divBdr>
        <w:top w:val="none" w:sz="0" w:space="0" w:color="auto"/>
        <w:left w:val="none" w:sz="0" w:space="0" w:color="auto"/>
        <w:bottom w:val="none" w:sz="0" w:space="0" w:color="auto"/>
        <w:right w:val="none" w:sz="0" w:space="0" w:color="auto"/>
      </w:divBdr>
    </w:div>
    <w:div w:id="1129279407">
      <w:bodyDiv w:val="1"/>
      <w:marLeft w:val="0"/>
      <w:marRight w:val="0"/>
      <w:marTop w:val="0"/>
      <w:marBottom w:val="0"/>
      <w:divBdr>
        <w:top w:val="none" w:sz="0" w:space="0" w:color="auto"/>
        <w:left w:val="none" w:sz="0" w:space="0" w:color="auto"/>
        <w:bottom w:val="none" w:sz="0" w:space="0" w:color="auto"/>
        <w:right w:val="none" w:sz="0" w:space="0" w:color="auto"/>
      </w:divBdr>
    </w:div>
    <w:div w:id="1129930344">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657459696">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1718314423">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37407963">
      <w:bodyDiv w:val="1"/>
      <w:marLeft w:val="0"/>
      <w:marRight w:val="0"/>
      <w:marTop w:val="0"/>
      <w:marBottom w:val="0"/>
      <w:divBdr>
        <w:top w:val="none" w:sz="0" w:space="0" w:color="auto"/>
        <w:left w:val="none" w:sz="0" w:space="0" w:color="auto"/>
        <w:bottom w:val="none" w:sz="0" w:space="0" w:color="auto"/>
        <w:right w:val="none" w:sz="0" w:space="0" w:color="auto"/>
      </w:divBdr>
    </w:div>
    <w:div w:id="1138373230">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123409">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0177066">
      <w:bodyDiv w:val="1"/>
      <w:marLeft w:val="0"/>
      <w:marRight w:val="0"/>
      <w:marTop w:val="0"/>
      <w:marBottom w:val="0"/>
      <w:divBdr>
        <w:top w:val="none" w:sz="0" w:space="0" w:color="auto"/>
        <w:left w:val="none" w:sz="0" w:space="0" w:color="auto"/>
        <w:bottom w:val="none" w:sz="0" w:space="0" w:color="auto"/>
        <w:right w:val="none" w:sz="0" w:space="0" w:color="auto"/>
      </w:divBdr>
    </w:div>
    <w:div w:id="1152480394">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7997355">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992413654">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6990646">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59224684">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2841866">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75346154">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3012052">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150853">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4533073">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005625">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6145263">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28958570">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35892408">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48923260">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65571181">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6519255">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147388">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89509090">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2908066">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8685249">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0208076">
      <w:bodyDiv w:val="1"/>
      <w:marLeft w:val="0"/>
      <w:marRight w:val="0"/>
      <w:marTop w:val="0"/>
      <w:marBottom w:val="0"/>
      <w:divBdr>
        <w:top w:val="none" w:sz="0" w:space="0" w:color="auto"/>
        <w:left w:val="none" w:sz="0" w:space="0" w:color="auto"/>
        <w:bottom w:val="none" w:sz="0" w:space="0" w:color="auto"/>
        <w:right w:val="none" w:sz="0" w:space="0" w:color="auto"/>
      </w:divBdr>
    </w:div>
    <w:div w:id="1311204433">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18805814">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3853949">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3994980">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1547623">
      <w:bodyDiv w:val="1"/>
      <w:marLeft w:val="0"/>
      <w:marRight w:val="0"/>
      <w:marTop w:val="0"/>
      <w:marBottom w:val="0"/>
      <w:divBdr>
        <w:top w:val="none" w:sz="0" w:space="0" w:color="auto"/>
        <w:left w:val="none" w:sz="0" w:space="0" w:color="auto"/>
        <w:bottom w:val="none" w:sz="0" w:space="0" w:color="auto"/>
        <w:right w:val="none" w:sz="0" w:space="0" w:color="auto"/>
      </w:divBdr>
    </w:div>
    <w:div w:id="1348364631">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3455591">
      <w:bodyDiv w:val="1"/>
      <w:marLeft w:val="0"/>
      <w:marRight w:val="0"/>
      <w:marTop w:val="0"/>
      <w:marBottom w:val="0"/>
      <w:divBdr>
        <w:top w:val="none" w:sz="0" w:space="0" w:color="auto"/>
        <w:left w:val="none" w:sz="0" w:space="0" w:color="auto"/>
        <w:bottom w:val="none" w:sz="0" w:space="0" w:color="auto"/>
        <w:right w:val="none" w:sz="0" w:space="0" w:color="auto"/>
      </w:divBdr>
    </w:div>
    <w:div w:id="1353998661">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59969159">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0299893">
      <w:bodyDiv w:val="1"/>
      <w:marLeft w:val="0"/>
      <w:marRight w:val="0"/>
      <w:marTop w:val="0"/>
      <w:marBottom w:val="0"/>
      <w:divBdr>
        <w:top w:val="none" w:sz="0" w:space="0" w:color="auto"/>
        <w:left w:val="none" w:sz="0" w:space="0" w:color="auto"/>
        <w:bottom w:val="none" w:sz="0" w:space="0" w:color="auto"/>
        <w:right w:val="none" w:sz="0" w:space="0" w:color="auto"/>
      </w:divBdr>
    </w:div>
    <w:div w:id="1372222780">
      <w:bodyDiv w:val="1"/>
      <w:marLeft w:val="0"/>
      <w:marRight w:val="0"/>
      <w:marTop w:val="0"/>
      <w:marBottom w:val="0"/>
      <w:divBdr>
        <w:top w:val="none" w:sz="0" w:space="0" w:color="auto"/>
        <w:left w:val="none" w:sz="0" w:space="0" w:color="auto"/>
        <w:bottom w:val="none" w:sz="0" w:space="0" w:color="auto"/>
        <w:right w:val="none" w:sz="0" w:space="0" w:color="auto"/>
      </w:divBdr>
    </w:div>
    <w:div w:id="137311756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809713">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0784318">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332594">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0135965">
      <w:bodyDiv w:val="1"/>
      <w:marLeft w:val="0"/>
      <w:marRight w:val="0"/>
      <w:marTop w:val="0"/>
      <w:marBottom w:val="0"/>
      <w:divBdr>
        <w:top w:val="none" w:sz="0" w:space="0" w:color="auto"/>
        <w:left w:val="none" w:sz="0" w:space="0" w:color="auto"/>
        <w:bottom w:val="none" w:sz="0" w:space="0" w:color="auto"/>
        <w:right w:val="none" w:sz="0" w:space="0" w:color="auto"/>
      </w:divBdr>
    </w:div>
    <w:div w:id="1401633020">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174887">
          <w:marLeft w:val="0"/>
          <w:marRight w:val="0"/>
          <w:marTop w:val="0"/>
          <w:marBottom w:val="0"/>
          <w:divBdr>
            <w:top w:val="none" w:sz="0" w:space="0" w:color="auto"/>
            <w:left w:val="none" w:sz="0" w:space="0" w:color="auto"/>
            <w:bottom w:val="none" w:sz="0" w:space="0" w:color="auto"/>
            <w:right w:val="none" w:sz="0" w:space="0" w:color="auto"/>
          </w:divBdr>
        </w:div>
        <w:div w:id="34872773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sChild>
    </w:div>
    <w:div w:id="1403791805">
      <w:bodyDiv w:val="1"/>
      <w:marLeft w:val="0"/>
      <w:marRight w:val="0"/>
      <w:marTop w:val="0"/>
      <w:marBottom w:val="0"/>
      <w:divBdr>
        <w:top w:val="none" w:sz="0" w:space="0" w:color="auto"/>
        <w:left w:val="none" w:sz="0" w:space="0" w:color="auto"/>
        <w:bottom w:val="none" w:sz="0" w:space="0" w:color="auto"/>
        <w:right w:val="none" w:sz="0" w:space="0" w:color="auto"/>
      </w:divBdr>
      <w:divsChild>
        <w:div w:id="67657308">
          <w:marLeft w:val="0"/>
          <w:marRight w:val="0"/>
          <w:marTop w:val="0"/>
          <w:marBottom w:val="0"/>
          <w:divBdr>
            <w:top w:val="none" w:sz="0" w:space="0" w:color="auto"/>
            <w:left w:val="none" w:sz="0" w:space="0" w:color="auto"/>
            <w:bottom w:val="none" w:sz="0" w:space="0" w:color="auto"/>
            <w:right w:val="none" w:sz="0" w:space="0" w:color="auto"/>
          </w:divBdr>
        </w:div>
        <w:div w:id="102192416">
          <w:marLeft w:val="0"/>
          <w:marRight w:val="0"/>
          <w:marTop w:val="0"/>
          <w:marBottom w:val="0"/>
          <w:divBdr>
            <w:top w:val="none" w:sz="0" w:space="0" w:color="auto"/>
            <w:left w:val="none" w:sz="0" w:space="0" w:color="auto"/>
            <w:bottom w:val="none" w:sz="0" w:space="0" w:color="auto"/>
            <w:right w:val="none" w:sz="0" w:space="0" w:color="auto"/>
          </w:divBdr>
        </w:div>
        <w:div w:id="168447625">
          <w:marLeft w:val="0"/>
          <w:marRight w:val="0"/>
          <w:marTop w:val="0"/>
          <w:marBottom w:val="0"/>
          <w:divBdr>
            <w:top w:val="none" w:sz="0" w:space="0" w:color="auto"/>
            <w:left w:val="none" w:sz="0" w:space="0" w:color="auto"/>
            <w:bottom w:val="none" w:sz="0" w:space="0" w:color="auto"/>
            <w:right w:val="none" w:sz="0" w:space="0" w:color="auto"/>
          </w:divBdr>
        </w:div>
        <w:div w:id="210533059">
          <w:marLeft w:val="0"/>
          <w:marRight w:val="0"/>
          <w:marTop w:val="0"/>
          <w:marBottom w:val="0"/>
          <w:divBdr>
            <w:top w:val="none" w:sz="0" w:space="0" w:color="auto"/>
            <w:left w:val="none" w:sz="0" w:space="0" w:color="auto"/>
            <w:bottom w:val="none" w:sz="0" w:space="0" w:color="auto"/>
            <w:right w:val="none" w:sz="0" w:space="0" w:color="auto"/>
          </w:divBdr>
        </w:div>
        <w:div w:id="235089146">
          <w:marLeft w:val="0"/>
          <w:marRight w:val="0"/>
          <w:marTop w:val="0"/>
          <w:marBottom w:val="0"/>
          <w:divBdr>
            <w:top w:val="none" w:sz="0" w:space="0" w:color="auto"/>
            <w:left w:val="none" w:sz="0" w:space="0" w:color="auto"/>
            <w:bottom w:val="none" w:sz="0" w:space="0" w:color="auto"/>
            <w:right w:val="none" w:sz="0" w:space="0" w:color="auto"/>
          </w:divBdr>
        </w:div>
        <w:div w:id="250625210">
          <w:marLeft w:val="0"/>
          <w:marRight w:val="0"/>
          <w:marTop w:val="0"/>
          <w:marBottom w:val="0"/>
          <w:divBdr>
            <w:top w:val="none" w:sz="0" w:space="0" w:color="auto"/>
            <w:left w:val="none" w:sz="0" w:space="0" w:color="auto"/>
            <w:bottom w:val="none" w:sz="0" w:space="0" w:color="auto"/>
            <w:right w:val="none" w:sz="0" w:space="0" w:color="auto"/>
          </w:divBdr>
        </w:div>
        <w:div w:id="288515171">
          <w:marLeft w:val="0"/>
          <w:marRight w:val="0"/>
          <w:marTop w:val="0"/>
          <w:marBottom w:val="0"/>
          <w:divBdr>
            <w:top w:val="none" w:sz="0" w:space="0" w:color="auto"/>
            <w:left w:val="none" w:sz="0" w:space="0" w:color="auto"/>
            <w:bottom w:val="none" w:sz="0" w:space="0" w:color="auto"/>
            <w:right w:val="none" w:sz="0" w:space="0" w:color="auto"/>
          </w:divBdr>
        </w:div>
        <w:div w:id="372006309">
          <w:marLeft w:val="0"/>
          <w:marRight w:val="0"/>
          <w:marTop w:val="0"/>
          <w:marBottom w:val="0"/>
          <w:divBdr>
            <w:top w:val="none" w:sz="0" w:space="0" w:color="auto"/>
            <w:left w:val="none" w:sz="0" w:space="0" w:color="auto"/>
            <w:bottom w:val="none" w:sz="0" w:space="0" w:color="auto"/>
            <w:right w:val="none" w:sz="0" w:space="0" w:color="auto"/>
          </w:divBdr>
        </w:div>
        <w:div w:id="425807548">
          <w:marLeft w:val="0"/>
          <w:marRight w:val="0"/>
          <w:marTop w:val="0"/>
          <w:marBottom w:val="0"/>
          <w:divBdr>
            <w:top w:val="none" w:sz="0" w:space="0" w:color="auto"/>
            <w:left w:val="none" w:sz="0" w:space="0" w:color="auto"/>
            <w:bottom w:val="none" w:sz="0" w:space="0" w:color="auto"/>
            <w:right w:val="none" w:sz="0" w:space="0" w:color="auto"/>
          </w:divBdr>
        </w:div>
        <w:div w:id="577709964">
          <w:marLeft w:val="0"/>
          <w:marRight w:val="0"/>
          <w:marTop w:val="0"/>
          <w:marBottom w:val="0"/>
          <w:divBdr>
            <w:top w:val="none" w:sz="0" w:space="0" w:color="auto"/>
            <w:left w:val="none" w:sz="0" w:space="0" w:color="auto"/>
            <w:bottom w:val="none" w:sz="0" w:space="0" w:color="auto"/>
            <w:right w:val="none" w:sz="0" w:space="0" w:color="auto"/>
          </w:divBdr>
        </w:div>
        <w:div w:id="721290360">
          <w:marLeft w:val="0"/>
          <w:marRight w:val="0"/>
          <w:marTop w:val="0"/>
          <w:marBottom w:val="0"/>
          <w:divBdr>
            <w:top w:val="none" w:sz="0" w:space="0" w:color="auto"/>
            <w:left w:val="none" w:sz="0" w:space="0" w:color="auto"/>
            <w:bottom w:val="none" w:sz="0" w:space="0" w:color="auto"/>
            <w:right w:val="none" w:sz="0" w:space="0" w:color="auto"/>
          </w:divBdr>
        </w:div>
        <w:div w:id="740760309">
          <w:marLeft w:val="0"/>
          <w:marRight w:val="0"/>
          <w:marTop w:val="0"/>
          <w:marBottom w:val="0"/>
          <w:divBdr>
            <w:top w:val="none" w:sz="0" w:space="0" w:color="auto"/>
            <w:left w:val="none" w:sz="0" w:space="0" w:color="auto"/>
            <w:bottom w:val="none" w:sz="0" w:space="0" w:color="auto"/>
            <w:right w:val="none" w:sz="0" w:space="0" w:color="auto"/>
          </w:divBdr>
        </w:div>
        <w:div w:id="782192596">
          <w:marLeft w:val="0"/>
          <w:marRight w:val="0"/>
          <w:marTop w:val="0"/>
          <w:marBottom w:val="0"/>
          <w:divBdr>
            <w:top w:val="none" w:sz="0" w:space="0" w:color="auto"/>
            <w:left w:val="none" w:sz="0" w:space="0" w:color="auto"/>
            <w:bottom w:val="none" w:sz="0" w:space="0" w:color="auto"/>
            <w:right w:val="none" w:sz="0" w:space="0" w:color="auto"/>
          </w:divBdr>
        </w:div>
        <w:div w:id="885290124">
          <w:marLeft w:val="0"/>
          <w:marRight w:val="0"/>
          <w:marTop w:val="0"/>
          <w:marBottom w:val="0"/>
          <w:divBdr>
            <w:top w:val="none" w:sz="0" w:space="0" w:color="auto"/>
            <w:left w:val="none" w:sz="0" w:space="0" w:color="auto"/>
            <w:bottom w:val="none" w:sz="0" w:space="0" w:color="auto"/>
            <w:right w:val="none" w:sz="0" w:space="0" w:color="auto"/>
          </w:divBdr>
        </w:div>
        <w:div w:id="924191720">
          <w:marLeft w:val="0"/>
          <w:marRight w:val="0"/>
          <w:marTop w:val="0"/>
          <w:marBottom w:val="0"/>
          <w:divBdr>
            <w:top w:val="none" w:sz="0" w:space="0" w:color="auto"/>
            <w:left w:val="none" w:sz="0" w:space="0" w:color="auto"/>
            <w:bottom w:val="none" w:sz="0" w:space="0" w:color="auto"/>
            <w:right w:val="none" w:sz="0" w:space="0" w:color="auto"/>
          </w:divBdr>
        </w:div>
        <w:div w:id="991181664">
          <w:marLeft w:val="0"/>
          <w:marRight w:val="0"/>
          <w:marTop w:val="0"/>
          <w:marBottom w:val="0"/>
          <w:divBdr>
            <w:top w:val="none" w:sz="0" w:space="0" w:color="auto"/>
            <w:left w:val="none" w:sz="0" w:space="0" w:color="auto"/>
            <w:bottom w:val="none" w:sz="0" w:space="0" w:color="auto"/>
            <w:right w:val="none" w:sz="0" w:space="0" w:color="auto"/>
          </w:divBdr>
        </w:div>
        <w:div w:id="1004744900">
          <w:marLeft w:val="0"/>
          <w:marRight w:val="0"/>
          <w:marTop w:val="0"/>
          <w:marBottom w:val="0"/>
          <w:divBdr>
            <w:top w:val="none" w:sz="0" w:space="0" w:color="auto"/>
            <w:left w:val="none" w:sz="0" w:space="0" w:color="auto"/>
            <w:bottom w:val="none" w:sz="0" w:space="0" w:color="auto"/>
            <w:right w:val="none" w:sz="0" w:space="0" w:color="auto"/>
          </w:divBdr>
        </w:div>
        <w:div w:id="1045105259">
          <w:marLeft w:val="0"/>
          <w:marRight w:val="0"/>
          <w:marTop w:val="0"/>
          <w:marBottom w:val="0"/>
          <w:divBdr>
            <w:top w:val="none" w:sz="0" w:space="0" w:color="auto"/>
            <w:left w:val="none" w:sz="0" w:space="0" w:color="auto"/>
            <w:bottom w:val="none" w:sz="0" w:space="0" w:color="auto"/>
            <w:right w:val="none" w:sz="0" w:space="0" w:color="auto"/>
          </w:divBdr>
        </w:div>
        <w:div w:id="1140927475">
          <w:marLeft w:val="0"/>
          <w:marRight w:val="0"/>
          <w:marTop w:val="0"/>
          <w:marBottom w:val="0"/>
          <w:divBdr>
            <w:top w:val="none" w:sz="0" w:space="0" w:color="auto"/>
            <w:left w:val="none" w:sz="0" w:space="0" w:color="auto"/>
            <w:bottom w:val="none" w:sz="0" w:space="0" w:color="auto"/>
            <w:right w:val="none" w:sz="0" w:space="0" w:color="auto"/>
          </w:divBdr>
        </w:div>
        <w:div w:id="1192765373">
          <w:marLeft w:val="0"/>
          <w:marRight w:val="0"/>
          <w:marTop w:val="0"/>
          <w:marBottom w:val="0"/>
          <w:divBdr>
            <w:top w:val="none" w:sz="0" w:space="0" w:color="auto"/>
            <w:left w:val="none" w:sz="0" w:space="0" w:color="auto"/>
            <w:bottom w:val="none" w:sz="0" w:space="0" w:color="auto"/>
            <w:right w:val="none" w:sz="0" w:space="0" w:color="auto"/>
          </w:divBdr>
        </w:div>
        <w:div w:id="1429960248">
          <w:marLeft w:val="0"/>
          <w:marRight w:val="0"/>
          <w:marTop w:val="0"/>
          <w:marBottom w:val="0"/>
          <w:divBdr>
            <w:top w:val="none" w:sz="0" w:space="0" w:color="auto"/>
            <w:left w:val="none" w:sz="0" w:space="0" w:color="auto"/>
            <w:bottom w:val="none" w:sz="0" w:space="0" w:color="auto"/>
            <w:right w:val="none" w:sz="0" w:space="0" w:color="auto"/>
          </w:divBdr>
        </w:div>
        <w:div w:id="1456096082">
          <w:marLeft w:val="0"/>
          <w:marRight w:val="0"/>
          <w:marTop w:val="0"/>
          <w:marBottom w:val="0"/>
          <w:divBdr>
            <w:top w:val="none" w:sz="0" w:space="0" w:color="auto"/>
            <w:left w:val="none" w:sz="0" w:space="0" w:color="auto"/>
            <w:bottom w:val="none" w:sz="0" w:space="0" w:color="auto"/>
            <w:right w:val="none" w:sz="0" w:space="0" w:color="auto"/>
          </w:divBdr>
        </w:div>
        <w:div w:id="1471898409">
          <w:marLeft w:val="0"/>
          <w:marRight w:val="0"/>
          <w:marTop w:val="0"/>
          <w:marBottom w:val="0"/>
          <w:divBdr>
            <w:top w:val="none" w:sz="0" w:space="0" w:color="auto"/>
            <w:left w:val="none" w:sz="0" w:space="0" w:color="auto"/>
            <w:bottom w:val="none" w:sz="0" w:space="0" w:color="auto"/>
            <w:right w:val="none" w:sz="0" w:space="0" w:color="auto"/>
          </w:divBdr>
        </w:div>
        <w:div w:id="1502544793">
          <w:marLeft w:val="0"/>
          <w:marRight w:val="0"/>
          <w:marTop w:val="0"/>
          <w:marBottom w:val="0"/>
          <w:divBdr>
            <w:top w:val="none" w:sz="0" w:space="0" w:color="auto"/>
            <w:left w:val="none" w:sz="0" w:space="0" w:color="auto"/>
            <w:bottom w:val="none" w:sz="0" w:space="0" w:color="auto"/>
            <w:right w:val="none" w:sz="0" w:space="0" w:color="auto"/>
          </w:divBdr>
        </w:div>
        <w:div w:id="1643577714">
          <w:marLeft w:val="0"/>
          <w:marRight w:val="0"/>
          <w:marTop w:val="0"/>
          <w:marBottom w:val="0"/>
          <w:divBdr>
            <w:top w:val="none" w:sz="0" w:space="0" w:color="auto"/>
            <w:left w:val="none" w:sz="0" w:space="0" w:color="auto"/>
            <w:bottom w:val="none" w:sz="0" w:space="0" w:color="auto"/>
            <w:right w:val="none" w:sz="0" w:space="0" w:color="auto"/>
          </w:divBdr>
        </w:div>
        <w:div w:id="1771855699">
          <w:marLeft w:val="0"/>
          <w:marRight w:val="0"/>
          <w:marTop w:val="0"/>
          <w:marBottom w:val="0"/>
          <w:divBdr>
            <w:top w:val="none" w:sz="0" w:space="0" w:color="auto"/>
            <w:left w:val="none" w:sz="0" w:space="0" w:color="auto"/>
            <w:bottom w:val="none" w:sz="0" w:space="0" w:color="auto"/>
            <w:right w:val="none" w:sz="0" w:space="0" w:color="auto"/>
          </w:divBdr>
        </w:div>
        <w:div w:id="1803763370">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19520665">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97861606">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 w:id="1653368994">
          <w:marLeft w:val="0"/>
          <w:marRight w:val="0"/>
          <w:marTop w:val="0"/>
          <w:marBottom w:val="0"/>
          <w:divBdr>
            <w:top w:val="none" w:sz="0" w:space="0" w:color="auto"/>
            <w:left w:val="none" w:sz="0" w:space="0" w:color="auto"/>
            <w:bottom w:val="none" w:sz="0" w:space="0" w:color="auto"/>
            <w:right w:val="none" w:sz="0" w:space="0" w:color="auto"/>
          </w:divBdr>
        </w:div>
      </w:divsChild>
    </w:div>
    <w:div w:id="1431269739">
      <w:bodyDiv w:val="1"/>
      <w:marLeft w:val="0"/>
      <w:marRight w:val="0"/>
      <w:marTop w:val="0"/>
      <w:marBottom w:val="0"/>
      <w:divBdr>
        <w:top w:val="none" w:sz="0" w:space="0" w:color="auto"/>
        <w:left w:val="none" w:sz="0" w:space="0" w:color="auto"/>
        <w:bottom w:val="none" w:sz="0" w:space="0" w:color="auto"/>
        <w:right w:val="none" w:sz="0" w:space="0" w:color="auto"/>
      </w:divBdr>
    </w:div>
    <w:div w:id="1435204414">
      <w:bodyDiv w:val="1"/>
      <w:marLeft w:val="0"/>
      <w:marRight w:val="0"/>
      <w:marTop w:val="0"/>
      <w:marBottom w:val="0"/>
      <w:divBdr>
        <w:top w:val="none" w:sz="0" w:space="0" w:color="auto"/>
        <w:left w:val="none" w:sz="0" w:space="0" w:color="auto"/>
        <w:bottom w:val="none" w:sz="0" w:space="0" w:color="auto"/>
        <w:right w:val="none" w:sz="0" w:space="0" w:color="auto"/>
      </w:divBdr>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1415378">
      <w:bodyDiv w:val="1"/>
      <w:marLeft w:val="0"/>
      <w:marRight w:val="0"/>
      <w:marTop w:val="0"/>
      <w:marBottom w:val="0"/>
      <w:divBdr>
        <w:top w:val="none" w:sz="0" w:space="0" w:color="auto"/>
        <w:left w:val="none" w:sz="0" w:space="0" w:color="auto"/>
        <w:bottom w:val="none" w:sz="0" w:space="0" w:color="auto"/>
        <w:right w:val="none" w:sz="0" w:space="0" w:color="auto"/>
      </w:divBdr>
    </w:div>
    <w:div w:id="1443766417">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53594521">
      <w:bodyDiv w:val="1"/>
      <w:marLeft w:val="0"/>
      <w:marRight w:val="0"/>
      <w:marTop w:val="0"/>
      <w:marBottom w:val="0"/>
      <w:divBdr>
        <w:top w:val="none" w:sz="0" w:space="0" w:color="auto"/>
        <w:left w:val="none" w:sz="0" w:space="0" w:color="auto"/>
        <w:bottom w:val="none" w:sz="0" w:space="0" w:color="auto"/>
        <w:right w:val="none" w:sz="0" w:space="0" w:color="auto"/>
      </w:divBdr>
    </w:div>
    <w:div w:id="1456828591">
      <w:bodyDiv w:val="1"/>
      <w:marLeft w:val="0"/>
      <w:marRight w:val="0"/>
      <w:marTop w:val="0"/>
      <w:marBottom w:val="0"/>
      <w:divBdr>
        <w:top w:val="none" w:sz="0" w:space="0" w:color="auto"/>
        <w:left w:val="none" w:sz="0" w:space="0" w:color="auto"/>
        <w:bottom w:val="none" w:sz="0" w:space="0" w:color="auto"/>
        <w:right w:val="none" w:sz="0" w:space="0" w:color="auto"/>
      </w:divBdr>
    </w:div>
    <w:div w:id="1459643962">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74299281">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34507">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82113172">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495876945">
      <w:bodyDiv w:val="1"/>
      <w:marLeft w:val="0"/>
      <w:marRight w:val="0"/>
      <w:marTop w:val="0"/>
      <w:marBottom w:val="0"/>
      <w:divBdr>
        <w:top w:val="none" w:sz="0" w:space="0" w:color="auto"/>
        <w:left w:val="none" w:sz="0" w:space="0" w:color="auto"/>
        <w:bottom w:val="none" w:sz="0" w:space="0" w:color="auto"/>
        <w:right w:val="none" w:sz="0" w:space="0" w:color="auto"/>
      </w:divBdr>
    </w:div>
    <w:div w:id="1498302175">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3931150">
      <w:bodyDiv w:val="1"/>
      <w:marLeft w:val="0"/>
      <w:marRight w:val="0"/>
      <w:marTop w:val="0"/>
      <w:marBottom w:val="0"/>
      <w:divBdr>
        <w:top w:val="none" w:sz="0" w:space="0" w:color="auto"/>
        <w:left w:val="none" w:sz="0" w:space="0" w:color="auto"/>
        <w:bottom w:val="none" w:sz="0" w:space="0" w:color="auto"/>
        <w:right w:val="none" w:sz="0" w:space="0" w:color="auto"/>
      </w:divBdr>
    </w:div>
    <w:div w:id="1508056217">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2718984">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506988560">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540163874">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sChild>
    </w:div>
    <w:div w:id="1516187785">
      <w:bodyDiv w:val="1"/>
      <w:marLeft w:val="0"/>
      <w:marRight w:val="0"/>
      <w:marTop w:val="0"/>
      <w:marBottom w:val="0"/>
      <w:divBdr>
        <w:top w:val="none" w:sz="0" w:space="0" w:color="auto"/>
        <w:left w:val="none" w:sz="0" w:space="0" w:color="auto"/>
        <w:bottom w:val="none" w:sz="0" w:space="0" w:color="auto"/>
        <w:right w:val="none" w:sz="0" w:space="0" w:color="auto"/>
      </w:divBdr>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26554706">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720507">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7887880">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252631">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63327101">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75190489">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6041489">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4022259">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0894199">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59941075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08582724">
      <w:bodyDiv w:val="1"/>
      <w:marLeft w:val="0"/>
      <w:marRight w:val="0"/>
      <w:marTop w:val="0"/>
      <w:marBottom w:val="0"/>
      <w:divBdr>
        <w:top w:val="none" w:sz="0" w:space="0" w:color="auto"/>
        <w:left w:val="none" w:sz="0" w:space="0" w:color="auto"/>
        <w:bottom w:val="none" w:sz="0" w:space="0" w:color="auto"/>
        <w:right w:val="none" w:sz="0" w:space="0" w:color="auto"/>
      </w:divBdr>
    </w:div>
    <w:div w:id="1609312519">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6960820">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8661463">
      <w:bodyDiv w:val="1"/>
      <w:marLeft w:val="0"/>
      <w:marRight w:val="0"/>
      <w:marTop w:val="0"/>
      <w:marBottom w:val="0"/>
      <w:divBdr>
        <w:top w:val="none" w:sz="0" w:space="0" w:color="auto"/>
        <w:left w:val="none" w:sz="0" w:space="0" w:color="auto"/>
        <w:bottom w:val="none" w:sz="0" w:space="0" w:color="auto"/>
        <w:right w:val="none" w:sz="0" w:space="0" w:color="auto"/>
      </w:divBdr>
    </w:div>
    <w:div w:id="1628928951">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085958">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30739573">
      <w:bodyDiv w:val="1"/>
      <w:marLeft w:val="0"/>
      <w:marRight w:val="0"/>
      <w:marTop w:val="0"/>
      <w:marBottom w:val="0"/>
      <w:divBdr>
        <w:top w:val="none" w:sz="0" w:space="0" w:color="auto"/>
        <w:left w:val="none" w:sz="0" w:space="0" w:color="auto"/>
        <w:bottom w:val="none" w:sz="0" w:space="0" w:color="auto"/>
        <w:right w:val="none" w:sz="0" w:space="0" w:color="auto"/>
      </w:divBdr>
    </w:div>
    <w:div w:id="1632831156">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1106793">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49238761">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296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4698465">
      <w:bodyDiv w:val="1"/>
      <w:marLeft w:val="0"/>
      <w:marRight w:val="0"/>
      <w:marTop w:val="0"/>
      <w:marBottom w:val="0"/>
      <w:divBdr>
        <w:top w:val="none" w:sz="0" w:space="0" w:color="auto"/>
        <w:left w:val="none" w:sz="0" w:space="0" w:color="auto"/>
        <w:bottom w:val="none" w:sz="0" w:space="0" w:color="auto"/>
        <w:right w:val="none" w:sz="0" w:space="0" w:color="auto"/>
      </w:divBdr>
    </w:div>
    <w:div w:id="1665468984">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1256931">
      <w:bodyDiv w:val="1"/>
      <w:marLeft w:val="0"/>
      <w:marRight w:val="0"/>
      <w:marTop w:val="0"/>
      <w:marBottom w:val="0"/>
      <w:divBdr>
        <w:top w:val="none" w:sz="0" w:space="0" w:color="auto"/>
        <w:left w:val="none" w:sz="0" w:space="0" w:color="auto"/>
        <w:bottom w:val="none" w:sz="0" w:space="0" w:color="auto"/>
        <w:right w:val="none" w:sz="0" w:space="0" w:color="auto"/>
      </w:divBdr>
    </w:div>
    <w:div w:id="1673294048">
      <w:bodyDiv w:val="1"/>
      <w:marLeft w:val="0"/>
      <w:marRight w:val="0"/>
      <w:marTop w:val="0"/>
      <w:marBottom w:val="0"/>
      <w:divBdr>
        <w:top w:val="none" w:sz="0" w:space="0" w:color="auto"/>
        <w:left w:val="none" w:sz="0" w:space="0" w:color="auto"/>
        <w:bottom w:val="none" w:sz="0" w:space="0" w:color="auto"/>
        <w:right w:val="none" w:sz="0" w:space="0" w:color="auto"/>
      </w:divBdr>
    </w:div>
    <w:div w:id="1674067107">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76959652">
      <w:bodyDiv w:val="1"/>
      <w:marLeft w:val="0"/>
      <w:marRight w:val="0"/>
      <w:marTop w:val="0"/>
      <w:marBottom w:val="0"/>
      <w:divBdr>
        <w:top w:val="none" w:sz="0" w:space="0" w:color="auto"/>
        <w:left w:val="none" w:sz="0" w:space="0" w:color="auto"/>
        <w:bottom w:val="none" w:sz="0" w:space="0" w:color="auto"/>
        <w:right w:val="none" w:sz="0" w:space="0" w:color="auto"/>
      </w:divBdr>
    </w:div>
    <w:div w:id="1678655118">
      <w:bodyDiv w:val="1"/>
      <w:marLeft w:val="0"/>
      <w:marRight w:val="0"/>
      <w:marTop w:val="0"/>
      <w:marBottom w:val="0"/>
      <w:divBdr>
        <w:top w:val="none" w:sz="0" w:space="0" w:color="auto"/>
        <w:left w:val="none" w:sz="0" w:space="0" w:color="auto"/>
        <w:bottom w:val="none" w:sz="0" w:space="0" w:color="auto"/>
        <w:right w:val="none" w:sz="0" w:space="0" w:color="auto"/>
      </w:divBdr>
    </w:div>
    <w:div w:id="1681272574">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72747258">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289579915">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697850140">
      <w:bodyDiv w:val="1"/>
      <w:marLeft w:val="0"/>
      <w:marRight w:val="0"/>
      <w:marTop w:val="0"/>
      <w:marBottom w:val="0"/>
      <w:divBdr>
        <w:top w:val="none" w:sz="0" w:space="0" w:color="auto"/>
        <w:left w:val="none" w:sz="0" w:space="0" w:color="auto"/>
        <w:bottom w:val="none" w:sz="0" w:space="0" w:color="auto"/>
        <w:right w:val="none" w:sz="0" w:space="0" w:color="auto"/>
      </w:divBdr>
    </w:div>
    <w:div w:id="1700162566">
      <w:bodyDiv w:val="1"/>
      <w:marLeft w:val="0"/>
      <w:marRight w:val="0"/>
      <w:marTop w:val="0"/>
      <w:marBottom w:val="0"/>
      <w:divBdr>
        <w:top w:val="none" w:sz="0" w:space="0" w:color="auto"/>
        <w:left w:val="none" w:sz="0" w:space="0" w:color="auto"/>
        <w:bottom w:val="none" w:sz="0" w:space="0" w:color="auto"/>
        <w:right w:val="none" w:sz="0" w:space="0" w:color="auto"/>
      </w:divBdr>
    </w:div>
    <w:div w:id="1701126658">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3534954">
      <w:bodyDiv w:val="1"/>
      <w:marLeft w:val="0"/>
      <w:marRight w:val="0"/>
      <w:marTop w:val="0"/>
      <w:marBottom w:val="0"/>
      <w:divBdr>
        <w:top w:val="none" w:sz="0" w:space="0" w:color="auto"/>
        <w:left w:val="none" w:sz="0" w:space="0" w:color="auto"/>
        <w:bottom w:val="none" w:sz="0" w:space="0" w:color="auto"/>
        <w:right w:val="none" w:sz="0" w:space="0" w:color="auto"/>
      </w:divBdr>
    </w:div>
    <w:div w:id="1714311110">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3404973">
      <w:bodyDiv w:val="1"/>
      <w:marLeft w:val="0"/>
      <w:marRight w:val="0"/>
      <w:marTop w:val="0"/>
      <w:marBottom w:val="0"/>
      <w:divBdr>
        <w:top w:val="none" w:sz="0" w:space="0" w:color="auto"/>
        <w:left w:val="none" w:sz="0" w:space="0" w:color="auto"/>
        <w:bottom w:val="none" w:sz="0" w:space="0" w:color="auto"/>
        <w:right w:val="none" w:sz="0" w:space="0" w:color="auto"/>
      </w:divBdr>
    </w:div>
    <w:div w:id="1724718047">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8189421">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221840">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54736303">
      <w:bodyDiv w:val="1"/>
      <w:marLeft w:val="0"/>
      <w:marRight w:val="0"/>
      <w:marTop w:val="0"/>
      <w:marBottom w:val="0"/>
      <w:divBdr>
        <w:top w:val="none" w:sz="0" w:space="0" w:color="auto"/>
        <w:left w:val="none" w:sz="0" w:space="0" w:color="auto"/>
        <w:bottom w:val="none" w:sz="0" w:space="0" w:color="auto"/>
        <w:right w:val="none" w:sz="0" w:space="0" w:color="auto"/>
      </w:divBdr>
    </w:div>
    <w:div w:id="1755975079">
      <w:bodyDiv w:val="1"/>
      <w:marLeft w:val="0"/>
      <w:marRight w:val="0"/>
      <w:marTop w:val="0"/>
      <w:marBottom w:val="0"/>
      <w:divBdr>
        <w:top w:val="none" w:sz="0" w:space="0" w:color="auto"/>
        <w:left w:val="none" w:sz="0" w:space="0" w:color="auto"/>
        <w:bottom w:val="none" w:sz="0" w:space="0" w:color="auto"/>
        <w:right w:val="none" w:sz="0" w:space="0" w:color="auto"/>
      </w:divBdr>
    </w:div>
    <w:div w:id="1759713576">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69539451">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76361940">
      <w:bodyDiv w:val="1"/>
      <w:marLeft w:val="0"/>
      <w:marRight w:val="0"/>
      <w:marTop w:val="0"/>
      <w:marBottom w:val="0"/>
      <w:divBdr>
        <w:top w:val="none" w:sz="0" w:space="0" w:color="auto"/>
        <w:left w:val="none" w:sz="0" w:space="0" w:color="auto"/>
        <w:bottom w:val="none" w:sz="0" w:space="0" w:color="auto"/>
        <w:right w:val="none" w:sz="0" w:space="0" w:color="auto"/>
      </w:divBdr>
    </w:div>
    <w:div w:id="1780568335">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4797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5367272">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798835354">
      <w:bodyDiv w:val="1"/>
      <w:marLeft w:val="0"/>
      <w:marRight w:val="0"/>
      <w:marTop w:val="0"/>
      <w:marBottom w:val="0"/>
      <w:divBdr>
        <w:top w:val="none" w:sz="0" w:space="0" w:color="auto"/>
        <w:left w:val="none" w:sz="0" w:space="0" w:color="auto"/>
        <w:bottom w:val="none" w:sz="0" w:space="0" w:color="auto"/>
        <w:right w:val="none" w:sz="0" w:space="0" w:color="auto"/>
      </w:divBdr>
    </w:div>
    <w:div w:id="1800681076">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2136732">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34249807">
      <w:bodyDiv w:val="1"/>
      <w:marLeft w:val="0"/>
      <w:marRight w:val="0"/>
      <w:marTop w:val="0"/>
      <w:marBottom w:val="0"/>
      <w:divBdr>
        <w:top w:val="none" w:sz="0" w:space="0" w:color="auto"/>
        <w:left w:val="none" w:sz="0" w:space="0" w:color="auto"/>
        <w:bottom w:val="none" w:sz="0" w:space="0" w:color="auto"/>
        <w:right w:val="none" w:sz="0" w:space="0" w:color="auto"/>
      </w:divBdr>
    </w:div>
    <w:div w:id="1837039721">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49515132">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62166166">
      <w:bodyDiv w:val="1"/>
      <w:marLeft w:val="0"/>
      <w:marRight w:val="0"/>
      <w:marTop w:val="0"/>
      <w:marBottom w:val="0"/>
      <w:divBdr>
        <w:top w:val="none" w:sz="0" w:space="0" w:color="auto"/>
        <w:left w:val="none" w:sz="0" w:space="0" w:color="auto"/>
        <w:bottom w:val="none" w:sz="0" w:space="0" w:color="auto"/>
        <w:right w:val="none" w:sz="0" w:space="0" w:color="auto"/>
      </w:divBdr>
    </w:div>
    <w:div w:id="1870028272">
      <w:bodyDiv w:val="1"/>
      <w:marLeft w:val="0"/>
      <w:marRight w:val="0"/>
      <w:marTop w:val="0"/>
      <w:marBottom w:val="0"/>
      <w:divBdr>
        <w:top w:val="none" w:sz="0" w:space="0" w:color="auto"/>
        <w:left w:val="none" w:sz="0" w:space="0" w:color="auto"/>
        <w:bottom w:val="none" w:sz="0" w:space="0" w:color="auto"/>
        <w:right w:val="none" w:sz="0" w:space="0" w:color="auto"/>
      </w:divBdr>
    </w:div>
    <w:div w:id="1871458338">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6530040">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1884816">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4090788">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704862743">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sChild>
    </w:div>
    <w:div w:id="1937980500">
      <w:bodyDiv w:val="1"/>
      <w:marLeft w:val="0"/>
      <w:marRight w:val="0"/>
      <w:marTop w:val="0"/>
      <w:marBottom w:val="0"/>
      <w:divBdr>
        <w:top w:val="none" w:sz="0" w:space="0" w:color="auto"/>
        <w:left w:val="none" w:sz="0" w:space="0" w:color="auto"/>
        <w:bottom w:val="none" w:sz="0" w:space="0" w:color="auto"/>
        <w:right w:val="none" w:sz="0" w:space="0" w:color="auto"/>
      </w:divBdr>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01535">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5919414">
      <w:bodyDiv w:val="1"/>
      <w:marLeft w:val="0"/>
      <w:marRight w:val="0"/>
      <w:marTop w:val="0"/>
      <w:marBottom w:val="0"/>
      <w:divBdr>
        <w:top w:val="none" w:sz="0" w:space="0" w:color="auto"/>
        <w:left w:val="none" w:sz="0" w:space="0" w:color="auto"/>
        <w:bottom w:val="none" w:sz="0" w:space="0" w:color="auto"/>
        <w:right w:val="none" w:sz="0" w:space="0" w:color="auto"/>
      </w:divBdr>
    </w:div>
    <w:div w:id="1949388309">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4922197">
      <w:bodyDiv w:val="1"/>
      <w:marLeft w:val="0"/>
      <w:marRight w:val="0"/>
      <w:marTop w:val="0"/>
      <w:marBottom w:val="0"/>
      <w:divBdr>
        <w:top w:val="none" w:sz="0" w:space="0" w:color="auto"/>
        <w:left w:val="none" w:sz="0" w:space="0" w:color="auto"/>
        <w:bottom w:val="none" w:sz="0" w:space="0" w:color="auto"/>
        <w:right w:val="none" w:sz="0" w:space="0" w:color="auto"/>
      </w:divBdr>
    </w:div>
    <w:div w:id="1967226428">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68269944">
      <w:bodyDiv w:val="1"/>
      <w:marLeft w:val="0"/>
      <w:marRight w:val="0"/>
      <w:marTop w:val="0"/>
      <w:marBottom w:val="0"/>
      <w:divBdr>
        <w:top w:val="none" w:sz="0" w:space="0" w:color="auto"/>
        <w:left w:val="none" w:sz="0" w:space="0" w:color="auto"/>
        <w:bottom w:val="none" w:sz="0" w:space="0" w:color="auto"/>
        <w:right w:val="none" w:sz="0" w:space="0" w:color="auto"/>
      </w:divBdr>
    </w:div>
    <w:div w:id="1969165713">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77948912">
      <w:bodyDiv w:val="1"/>
      <w:marLeft w:val="0"/>
      <w:marRight w:val="0"/>
      <w:marTop w:val="0"/>
      <w:marBottom w:val="0"/>
      <w:divBdr>
        <w:top w:val="none" w:sz="0" w:space="0" w:color="auto"/>
        <w:left w:val="none" w:sz="0" w:space="0" w:color="auto"/>
        <w:bottom w:val="none" w:sz="0" w:space="0" w:color="auto"/>
        <w:right w:val="none" w:sz="0" w:space="0" w:color="auto"/>
      </w:divBdr>
    </w:div>
    <w:div w:id="1981760922">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86543372">
      <w:bodyDiv w:val="1"/>
      <w:marLeft w:val="0"/>
      <w:marRight w:val="0"/>
      <w:marTop w:val="0"/>
      <w:marBottom w:val="0"/>
      <w:divBdr>
        <w:top w:val="none" w:sz="0" w:space="0" w:color="auto"/>
        <w:left w:val="none" w:sz="0" w:space="0" w:color="auto"/>
        <w:bottom w:val="none" w:sz="0" w:space="0" w:color="auto"/>
        <w:right w:val="none" w:sz="0" w:space="0" w:color="auto"/>
      </w:divBdr>
    </w:div>
    <w:div w:id="1986544809">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3438209">
      <w:bodyDiv w:val="1"/>
      <w:marLeft w:val="0"/>
      <w:marRight w:val="0"/>
      <w:marTop w:val="0"/>
      <w:marBottom w:val="0"/>
      <w:divBdr>
        <w:top w:val="none" w:sz="0" w:space="0" w:color="auto"/>
        <w:left w:val="none" w:sz="0" w:space="0" w:color="auto"/>
        <w:bottom w:val="none" w:sz="0" w:space="0" w:color="auto"/>
        <w:right w:val="none" w:sz="0" w:space="0" w:color="auto"/>
      </w:divBdr>
    </w:div>
    <w:div w:id="1996640052">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09554043">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24746573">
      <w:bodyDiv w:val="1"/>
      <w:marLeft w:val="0"/>
      <w:marRight w:val="0"/>
      <w:marTop w:val="0"/>
      <w:marBottom w:val="0"/>
      <w:divBdr>
        <w:top w:val="none" w:sz="0" w:space="0" w:color="auto"/>
        <w:left w:val="none" w:sz="0" w:space="0" w:color="auto"/>
        <w:bottom w:val="none" w:sz="0" w:space="0" w:color="auto"/>
        <w:right w:val="none" w:sz="0" w:space="0" w:color="auto"/>
      </w:divBdr>
    </w:div>
    <w:div w:id="2031759810">
      <w:bodyDiv w:val="1"/>
      <w:marLeft w:val="0"/>
      <w:marRight w:val="0"/>
      <w:marTop w:val="0"/>
      <w:marBottom w:val="0"/>
      <w:divBdr>
        <w:top w:val="none" w:sz="0" w:space="0" w:color="auto"/>
        <w:left w:val="none" w:sz="0" w:space="0" w:color="auto"/>
        <w:bottom w:val="none" w:sz="0" w:space="0" w:color="auto"/>
        <w:right w:val="none" w:sz="0" w:space="0" w:color="auto"/>
      </w:divBdr>
    </w:div>
    <w:div w:id="2031879268">
      <w:bodyDiv w:val="1"/>
      <w:marLeft w:val="0"/>
      <w:marRight w:val="0"/>
      <w:marTop w:val="0"/>
      <w:marBottom w:val="0"/>
      <w:divBdr>
        <w:top w:val="none" w:sz="0" w:space="0" w:color="auto"/>
        <w:left w:val="none" w:sz="0" w:space="0" w:color="auto"/>
        <w:bottom w:val="none" w:sz="0" w:space="0" w:color="auto"/>
        <w:right w:val="none" w:sz="0" w:space="0" w:color="auto"/>
      </w:divBdr>
    </w:div>
    <w:div w:id="2032105386">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4549486">
      <w:bodyDiv w:val="1"/>
      <w:marLeft w:val="0"/>
      <w:marRight w:val="0"/>
      <w:marTop w:val="0"/>
      <w:marBottom w:val="0"/>
      <w:divBdr>
        <w:top w:val="none" w:sz="0" w:space="0" w:color="auto"/>
        <w:left w:val="none" w:sz="0" w:space="0" w:color="auto"/>
        <w:bottom w:val="none" w:sz="0" w:space="0" w:color="auto"/>
        <w:right w:val="none" w:sz="0" w:space="0" w:color="auto"/>
      </w:divBdr>
    </w:div>
    <w:div w:id="2045321125">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5425289">
      <w:bodyDiv w:val="1"/>
      <w:marLeft w:val="0"/>
      <w:marRight w:val="0"/>
      <w:marTop w:val="0"/>
      <w:marBottom w:val="0"/>
      <w:divBdr>
        <w:top w:val="none" w:sz="0" w:space="0" w:color="auto"/>
        <w:left w:val="none" w:sz="0" w:space="0" w:color="auto"/>
        <w:bottom w:val="none" w:sz="0" w:space="0" w:color="auto"/>
        <w:right w:val="none" w:sz="0" w:space="0" w:color="auto"/>
      </w:divBdr>
    </w:div>
    <w:div w:id="2057776048">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3170656">
      <w:bodyDiv w:val="1"/>
      <w:marLeft w:val="0"/>
      <w:marRight w:val="0"/>
      <w:marTop w:val="0"/>
      <w:marBottom w:val="0"/>
      <w:divBdr>
        <w:top w:val="none" w:sz="0" w:space="0" w:color="auto"/>
        <w:left w:val="none" w:sz="0" w:space="0" w:color="auto"/>
        <w:bottom w:val="none" w:sz="0" w:space="0" w:color="auto"/>
        <w:right w:val="none" w:sz="0" w:space="0" w:color="auto"/>
      </w:divBdr>
    </w:div>
    <w:div w:id="2064870173">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3889085">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5374127">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098553593">
      <w:bodyDiv w:val="1"/>
      <w:marLeft w:val="0"/>
      <w:marRight w:val="0"/>
      <w:marTop w:val="0"/>
      <w:marBottom w:val="0"/>
      <w:divBdr>
        <w:top w:val="none" w:sz="0" w:space="0" w:color="auto"/>
        <w:left w:val="none" w:sz="0" w:space="0" w:color="auto"/>
        <w:bottom w:val="none" w:sz="0" w:space="0" w:color="auto"/>
        <w:right w:val="none" w:sz="0" w:space="0" w:color="auto"/>
      </w:divBdr>
    </w:div>
    <w:div w:id="2110924466">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24104872">
      <w:bodyDiv w:val="1"/>
      <w:marLeft w:val="0"/>
      <w:marRight w:val="0"/>
      <w:marTop w:val="0"/>
      <w:marBottom w:val="0"/>
      <w:divBdr>
        <w:top w:val="none" w:sz="0" w:space="0" w:color="auto"/>
        <w:left w:val="none" w:sz="0" w:space="0" w:color="auto"/>
        <w:bottom w:val="none" w:sz="0" w:space="0" w:color="auto"/>
        <w:right w:val="none" w:sz="0" w:space="0" w:color="auto"/>
      </w:divBdr>
    </w:div>
    <w:div w:id="2128349458">
      <w:bodyDiv w:val="1"/>
      <w:marLeft w:val="0"/>
      <w:marRight w:val="0"/>
      <w:marTop w:val="0"/>
      <w:marBottom w:val="0"/>
      <w:divBdr>
        <w:top w:val="none" w:sz="0" w:space="0" w:color="auto"/>
        <w:left w:val="none" w:sz="0" w:space="0" w:color="auto"/>
        <w:bottom w:val="none" w:sz="0" w:space="0" w:color="auto"/>
        <w:right w:val="none" w:sz="0" w:space="0" w:color="auto"/>
      </w:divBdr>
    </w:div>
    <w:div w:id="2131125676">
      <w:bodyDiv w:val="1"/>
      <w:marLeft w:val="0"/>
      <w:marRight w:val="0"/>
      <w:marTop w:val="0"/>
      <w:marBottom w:val="0"/>
      <w:divBdr>
        <w:top w:val="none" w:sz="0" w:space="0" w:color="auto"/>
        <w:left w:val="none" w:sz="0" w:space="0" w:color="auto"/>
        <w:bottom w:val="none" w:sz="0" w:space="0" w:color="auto"/>
        <w:right w:val="none" w:sz="0" w:space="0" w:color="auto"/>
      </w:divBdr>
    </w:div>
    <w:div w:id="2134247162">
      <w:bodyDiv w:val="1"/>
      <w:marLeft w:val="0"/>
      <w:marRight w:val="0"/>
      <w:marTop w:val="0"/>
      <w:marBottom w:val="0"/>
      <w:divBdr>
        <w:top w:val="none" w:sz="0" w:space="0" w:color="auto"/>
        <w:left w:val="none" w:sz="0" w:space="0" w:color="auto"/>
        <w:bottom w:val="none" w:sz="0" w:space="0" w:color="auto"/>
        <w:right w:val="none" w:sz="0" w:space="0" w:color="auto"/>
      </w:divBdr>
    </w:div>
    <w:div w:id="2134707771">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8524076">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s://www.fca.org.uk/" TargetMode="External"/><Relationship Id="rId21" Type="http://schemas.openxmlformats.org/officeDocument/2006/relationships/chart" Target="charts/chart5.xml"/><Relationship Id="rId34" Type="http://schemas.openxmlformats.org/officeDocument/2006/relationships/oleObject" Target="embeddings/Microsoft_Excel_97-2003_Worksheet.xls"/><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bulletin@sebi.gov.in" TargetMode="Externa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yperlink" Target="http://www.treasury.gov/resource-center/data-chart-center/tic/Pages/ticfaq1.aspx" TargetMode="External"/><Relationship Id="rId40" Type="http://schemas.openxmlformats.org/officeDocument/2006/relationships/hyperlink" Target="https://www.iosco.org/news/pdf/IOSCONEWS629.pdf"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sebi.gov.in/reports-and-statistics.html"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styles" Target="styl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2.png"/><Relationship Id="rId43"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png"/><Relationship Id="rId38" Type="http://schemas.openxmlformats.org/officeDocument/2006/relationships/hyperlink" Target="https://www.sec.gov/news/pressreleases" TargetMode="External"/><Relationship Id="rId4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yperlink" Target="https://www.sebi.gov.in/reports-and-statistic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C%20DRIVE%20DATA%20BACKUP%2019-12-2019\Desktop\Bulletin\Workings-Jan%2020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C%20DRIVE%20DATA%20BACKUP%2019-12-2019\Desktop\Bulletin\Workings-Jan%2020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C%20DRIVE%20DATA%20BACKUP%2019-12-2019\Desktop\Bulletin\Workings-Jan%202022.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SUMIT%20DATA\01.%20Monthly\00.%20Working\CRD_Bulletin_Jan-2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SUMIT%20DATA\01.%20Monthly\00.%20Working\CRD_Bulletin_Jan-2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SUMIT%20DATA\01.%20Monthly\00.%20Working\CRD_Bulletin_Jan-2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F:\SEBI\2022%20_%20Lockdown\Bulletin\CRD_Bulletin_Jan-2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VIL%20PERSONAL%20123GB%20%2010%2007%202018\2021%2004%20Work%20from%20home\GMR\2022%2001%20GMR\2022%2001%20GMR%20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Documents\Bulletin\November\CMR%20Nov%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Documents\Bulletin\December\CMR%20Dec%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ocuments\Bulletin\December\CMR%20Dec%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C%20DRIVE%20DATA%20BACKUP%2019-12-2019\Desktop\Data%20Repository\Demat%20Accoun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Documents\Bulletin\November\CMR%20Nov%2020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Documents\Bulletin\November\CMR%20Nov%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Documents\Bulletin\November\CMR%20Nov%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C%20DRIVE%20DATA%20BACKUP%2019-12-2019\Desktop\Bulletin\Workings-Jan%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44415876586854E-2"/>
          <c:y val="5.4054054054054057E-2"/>
          <c:w val="0.88945476458299855"/>
          <c:h val="0.76706804155623065"/>
        </c:manualLayout>
      </c:layout>
      <c:lineChart>
        <c:grouping val="standard"/>
        <c:varyColors val="0"/>
        <c:ser>
          <c:idx val="0"/>
          <c:order val="0"/>
          <c:tx>
            <c:strRef>
              <c:f>'[Chart in Microsoft Word]Indices'!$E$1</c:f>
              <c:strCache>
                <c:ptCount val="1"/>
                <c:pt idx="0">
                  <c:v> NSE  </c:v>
                </c:pt>
              </c:strCache>
            </c:strRef>
          </c:tx>
          <c:spPr>
            <a:ln w="28575" cap="rnd">
              <a:solidFill>
                <a:schemeClr val="accent1"/>
              </a:solidFill>
              <a:round/>
            </a:ln>
            <a:effectLst/>
          </c:spPr>
          <c:marker>
            <c:symbol val="none"/>
          </c:marker>
          <c:cat>
            <c:numRef>
              <c:f>'[Chart in Microsoft Word]Indices'!$D$2:$D$249</c:f>
              <c:numCache>
                <c:formatCode>d\-mmm\-yy</c:formatCode>
                <c:ptCount val="248"/>
                <c:pt idx="0">
                  <c:v>44197</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44267</c:v>
                </c:pt>
                <c:pt idx="49">
                  <c:v>44270</c:v>
                </c:pt>
                <c:pt idx="50">
                  <c:v>44271</c:v>
                </c:pt>
                <c:pt idx="51">
                  <c:v>44272</c:v>
                </c:pt>
                <c:pt idx="52">
                  <c:v>44273</c:v>
                </c:pt>
                <c:pt idx="53">
                  <c:v>44274</c:v>
                </c:pt>
                <c:pt idx="54">
                  <c:v>44277</c:v>
                </c:pt>
                <c:pt idx="55">
                  <c:v>44278</c:v>
                </c:pt>
                <c:pt idx="56">
                  <c:v>44279</c:v>
                </c:pt>
                <c:pt idx="57">
                  <c:v>44280</c:v>
                </c:pt>
                <c:pt idx="58">
                  <c:v>44281</c:v>
                </c:pt>
                <c:pt idx="59">
                  <c:v>44285</c:v>
                </c:pt>
                <c:pt idx="60">
                  <c:v>44286</c:v>
                </c:pt>
                <c:pt idx="61">
                  <c:v>44287</c:v>
                </c:pt>
                <c:pt idx="62">
                  <c:v>44291</c:v>
                </c:pt>
                <c:pt idx="63">
                  <c:v>44292</c:v>
                </c:pt>
                <c:pt idx="64">
                  <c:v>44293</c:v>
                </c:pt>
                <c:pt idx="65">
                  <c:v>44294</c:v>
                </c:pt>
                <c:pt idx="66">
                  <c:v>44295</c:v>
                </c:pt>
                <c:pt idx="67">
                  <c:v>44298</c:v>
                </c:pt>
                <c:pt idx="68">
                  <c:v>44299</c:v>
                </c:pt>
                <c:pt idx="69">
                  <c:v>44301</c:v>
                </c:pt>
                <c:pt idx="70">
                  <c:v>44302</c:v>
                </c:pt>
                <c:pt idx="71">
                  <c:v>44305</c:v>
                </c:pt>
                <c:pt idx="72">
                  <c:v>44306</c:v>
                </c:pt>
                <c:pt idx="73">
                  <c:v>44308</c:v>
                </c:pt>
                <c:pt idx="74">
                  <c:v>44309</c:v>
                </c:pt>
                <c:pt idx="75">
                  <c:v>44312</c:v>
                </c:pt>
                <c:pt idx="76">
                  <c:v>44313</c:v>
                </c:pt>
                <c:pt idx="77">
                  <c:v>44314</c:v>
                </c:pt>
                <c:pt idx="78">
                  <c:v>44315</c:v>
                </c:pt>
                <c:pt idx="79">
                  <c:v>44316</c:v>
                </c:pt>
                <c:pt idx="80">
                  <c:v>44319</c:v>
                </c:pt>
                <c:pt idx="81">
                  <c:v>44320</c:v>
                </c:pt>
                <c:pt idx="82">
                  <c:v>44321</c:v>
                </c:pt>
                <c:pt idx="83">
                  <c:v>44322</c:v>
                </c:pt>
                <c:pt idx="84">
                  <c:v>44323</c:v>
                </c:pt>
                <c:pt idx="85">
                  <c:v>44326</c:v>
                </c:pt>
                <c:pt idx="86">
                  <c:v>44327</c:v>
                </c:pt>
                <c:pt idx="87">
                  <c:v>44328</c:v>
                </c:pt>
                <c:pt idx="88">
                  <c:v>44330</c:v>
                </c:pt>
                <c:pt idx="89">
                  <c:v>44333</c:v>
                </c:pt>
                <c:pt idx="90">
                  <c:v>44334</c:v>
                </c:pt>
                <c:pt idx="91">
                  <c:v>44335</c:v>
                </c:pt>
                <c:pt idx="92">
                  <c:v>44336</c:v>
                </c:pt>
                <c:pt idx="93">
                  <c:v>44337</c:v>
                </c:pt>
                <c:pt idx="94">
                  <c:v>44340</c:v>
                </c:pt>
                <c:pt idx="95">
                  <c:v>44341</c:v>
                </c:pt>
                <c:pt idx="96">
                  <c:v>44342</c:v>
                </c:pt>
                <c:pt idx="97">
                  <c:v>44343</c:v>
                </c:pt>
                <c:pt idx="98">
                  <c:v>44344</c:v>
                </c:pt>
                <c:pt idx="99">
                  <c:v>44347</c:v>
                </c:pt>
                <c:pt idx="100">
                  <c:v>44348</c:v>
                </c:pt>
                <c:pt idx="101">
                  <c:v>44349</c:v>
                </c:pt>
                <c:pt idx="102">
                  <c:v>44350</c:v>
                </c:pt>
                <c:pt idx="103">
                  <c:v>44351</c:v>
                </c:pt>
                <c:pt idx="104">
                  <c:v>44354</c:v>
                </c:pt>
                <c:pt idx="105">
                  <c:v>44355</c:v>
                </c:pt>
                <c:pt idx="106">
                  <c:v>44356</c:v>
                </c:pt>
                <c:pt idx="107">
                  <c:v>44357</c:v>
                </c:pt>
                <c:pt idx="108">
                  <c:v>44358</c:v>
                </c:pt>
                <c:pt idx="109">
                  <c:v>44361</c:v>
                </c:pt>
                <c:pt idx="110">
                  <c:v>44362</c:v>
                </c:pt>
                <c:pt idx="111">
                  <c:v>44363</c:v>
                </c:pt>
                <c:pt idx="112">
                  <c:v>44364</c:v>
                </c:pt>
                <c:pt idx="113">
                  <c:v>44365</c:v>
                </c:pt>
                <c:pt idx="114">
                  <c:v>44368</c:v>
                </c:pt>
                <c:pt idx="115">
                  <c:v>44369</c:v>
                </c:pt>
                <c:pt idx="116">
                  <c:v>44370</c:v>
                </c:pt>
                <c:pt idx="117">
                  <c:v>44371</c:v>
                </c:pt>
                <c:pt idx="118">
                  <c:v>44372</c:v>
                </c:pt>
                <c:pt idx="119">
                  <c:v>44375</c:v>
                </c:pt>
                <c:pt idx="120">
                  <c:v>44376</c:v>
                </c:pt>
                <c:pt idx="121">
                  <c:v>44377</c:v>
                </c:pt>
                <c:pt idx="122">
                  <c:v>44378</c:v>
                </c:pt>
                <c:pt idx="123">
                  <c:v>44379</c:v>
                </c:pt>
                <c:pt idx="124">
                  <c:v>44382</c:v>
                </c:pt>
                <c:pt idx="125">
                  <c:v>44383</c:v>
                </c:pt>
                <c:pt idx="126">
                  <c:v>44384</c:v>
                </c:pt>
                <c:pt idx="127">
                  <c:v>44385</c:v>
                </c:pt>
                <c:pt idx="128">
                  <c:v>44386</c:v>
                </c:pt>
                <c:pt idx="129">
                  <c:v>44389</c:v>
                </c:pt>
                <c:pt idx="130">
                  <c:v>44390</c:v>
                </c:pt>
                <c:pt idx="131">
                  <c:v>44391</c:v>
                </c:pt>
                <c:pt idx="132">
                  <c:v>44392</c:v>
                </c:pt>
                <c:pt idx="133">
                  <c:v>44393</c:v>
                </c:pt>
                <c:pt idx="134">
                  <c:v>44396</c:v>
                </c:pt>
                <c:pt idx="135">
                  <c:v>44397</c:v>
                </c:pt>
                <c:pt idx="136">
                  <c:v>44399</c:v>
                </c:pt>
                <c:pt idx="137">
                  <c:v>44400</c:v>
                </c:pt>
                <c:pt idx="138">
                  <c:v>44403</c:v>
                </c:pt>
                <c:pt idx="139">
                  <c:v>44404</c:v>
                </c:pt>
                <c:pt idx="140">
                  <c:v>44405</c:v>
                </c:pt>
                <c:pt idx="141">
                  <c:v>44406</c:v>
                </c:pt>
                <c:pt idx="142">
                  <c:v>44407</c:v>
                </c:pt>
                <c:pt idx="143">
                  <c:v>44410</c:v>
                </c:pt>
                <c:pt idx="144">
                  <c:v>44411</c:v>
                </c:pt>
                <c:pt idx="145">
                  <c:v>44412</c:v>
                </c:pt>
                <c:pt idx="146">
                  <c:v>44413</c:v>
                </c:pt>
                <c:pt idx="147">
                  <c:v>44414</c:v>
                </c:pt>
                <c:pt idx="148">
                  <c:v>44417</c:v>
                </c:pt>
                <c:pt idx="149">
                  <c:v>44418</c:v>
                </c:pt>
                <c:pt idx="150">
                  <c:v>44419</c:v>
                </c:pt>
                <c:pt idx="151">
                  <c:v>44420</c:v>
                </c:pt>
                <c:pt idx="152">
                  <c:v>44421</c:v>
                </c:pt>
                <c:pt idx="153">
                  <c:v>44424</c:v>
                </c:pt>
                <c:pt idx="154">
                  <c:v>44425</c:v>
                </c:pt>
                <c:pt idx="155">
                  <c:v>44426</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44452</c:v>
                </c:pt>
                <c:pt idx="172">
                  <c:v>44453</c:v>
                </c:pt>
                <c:pt idx="173">
                  <c:v>44454</c:v>
                </c:pt>
                <c:pt idx="174">
                  <c:v>44455</c:v>
                </c:pt>
                <c:pt idx="175">
                  <c:v>44456</c:v>
                </c:pt>
                <c:pt idx="176">
                  <c:v>44459</c:v>
                </c:pt>
                <c:pt idx="177">
                  <c:v>44460</c:v>
                </c:pt>
                <c:pt idx="178">
                  <c:v>44461</c:v>
                </c:pt>
                <c:pt idx="179">
                  <c:v>44462</c:v>
                </c:pt>
                <c:pt idx="180">
                  <c:v>44463</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44487</c:v>
                </c:pt>
                <c:pt idx="196">
                  <c:v>44488</c:v>
                </c:pt>
                <c:pt idx="197">
                  <c:v>44489</c:v>
                </c:pt>
                <c:pt idx="198">
                  <c:v>44490</c:v>
                </c:pt>
                <c:pt idx="199">
                  <c:v>44491</c:v>
                </c:pt>
                <c:pt idx="200">
                  <c:v>44494</c:v>
                </c:pt>
                <c:pt idx="201">
                  <c:v>44495</c:v>
                </c:pt>
                <c:pt idx="202">
                  <c:v>44496</c:v>
                </c:pt>
                <c:pt idx="203">
                  <c:v>44497</c:v>
                </c:pt>
                <c:pt idx="204">
                  <c:v>44498</c:v>
                </c:pt>
                <c:pt idx="205">
                  <c:v>44501</c:v>
                </c:pt>
                <c:pt idx="206">
                  <c:v>44502</c:v>
                </c:pt>
                <c:pt idx="207">
                  <c:v>44503</c:v>
                </c:pt>
                <c:pt idx="208">
                  <c:v>44504</c:v>
                </c:pt>
                <c:pt idx="209">
                  <c:v>44508</c:v>
                </c:pt>
                <c:pt idx="210">
                  <c:v>44509</c:v>
                </c:pt>
                <c:pt idx="211">
                  <c:v>44510</c:v>
                </c:pt>
                <c:pt idx="212">
                  <c:v>44511</c:v>
                </c:pt>
                <c:pt idx="213">
                  <c:v>44512</c:v>
                </c:pt>
                <c:pt idx="214">
                  <c:v>44515</c:v>
                </c:pt>
                <c:pt idx="215">
                  <c:v>44516</c:v>
                </c:pt>
                <c:pt idx="216">
                  <c:v>44517</c:v>
                </c:pt>
                <c:pt idx="217">
                  <c:v>44518</c:v>
                </c:pt>
                <c:pt idx="218">
                  <c:v>44522</c:v>
                </c:pt>
                <c:pt idx="219">
                  <c:v>44523</c:v>
                </c:pt>
                <c:pt idx="220">
                  <c:v>44524</c:v>
                </c:pt>
                <c:pt idx="221">
                  <c:v>44525</c:v>
                </c:pt>
                <c:pt idx="222">
                  <c:v>44526</c:v>
                </c:pt>
                <c:pt idx="223">
                  <c:v>44529</c:v>
                </c:pt>
                <c:pt idx="224">
                  <c:v>44530</c:v>
                </c:pt>
                <c:pt idx="225">
                  <c:v>44531</c:v>
                </c:pt>
                <c:pt idx="226">
                  <c:v>44532</c:v>
                </c:pt>
                <c:pt idx="227">
                  <c:v>44533</c:v>
                </c:pt>
                <c:pt idx="228">
                  <c:v>44536</c:v>
                </c:pt>
                <c:pt idx="229">
                  <c:v>44537</c:v>
                </c:pt>
                <c:pt idx="230">
                  <c:v>44538</c:v>
                </c:pt>
                <c:pt idx="231">
                  <c:v>44539</c:v>
                </c:pt>
                <c:pt idx="232">
                  <c:v>44540</c:v>
                </c:pt>
                <c:pt idx="233">
                  <c:v>44543</c:v>
                </c:pt>
                <c:pt idx="234">
                  <c:v>44544</c:v>
                </c:pt>
                <c:pt idx="235">
                  <c:v>44545</c:v>
                </c:pt>
                <c:pt idx="236">
                  <c:v>44546</c:v>
                </c:pt>
                <c:pt idx="237">
                  <c:v>44547</c:v>
                </c:pt>
                <c:pt idx="238">
                  <c:v>44550</c:v>
                </c:pt>
                <c:pt idx="239">
                  <c:v>44551</c:v>
                </c:pt>
                <c:pt idx="240">
                  <c:v>44552</c:v>
                </c:pt>
                <c:pt idx="241">
                  <c:v>44553</c:v>
                </c:pt>
                <c:pt idx="242">
                  <c:v>44554</c:v>
                </c:pt>
                <c:pt idx="243">
                  <c:v>44557</c:v>
                </c:pt>
                <c:pt idx="244">
                  <c:v>44558</c:v>
                </c:pt>
                <c:pt idx="245">
                  <c:v>44559</c:v>
                </c:pt>
                <c:pt idx="246">
                  <c:v>44560</c:v>
                </c:pt>
                <c:pt idx="247">
                  <c:v>44561</c:v>
                </c:pt>
              </c:numCache>
            </c:numRef>
          </c:cat>
          <c:val>
            <c:numRef>
              <c:f>'[Chart in Microsoft Word]Indices'!$E$2:$E$249</c:f>
              <c:numCache>
                <c:formatCode>0</c:formatCode>
                <c:ptCount val="248"/>
                <c:pt idx="0">
                  <c:v>100</c:v>
                </c:pt>
                <c:pt idx="1">
                  <c:v>100.81606448621466</c:v>
                </c:pt>
                <c:pt idx="2">
                  <c:v>101.29115097906339</c:v>
                </c:pt>
                <c:pt idx="3">
                  <c:v>100.91165245925029</c:v>
                </c:pt>
                <c:pt idx="4">
                  <c:v>100.84816492492065</c:v>
                </c:pt>
                <c:pt idx="5">
                  <c:v>102.34547205478475</c:v>
                </c:pt>
                <c:pt idx="6">
                  <c:v>103.3263187930235</c:v>
                </c:pt>
                <c:pt idx="7">
                  <c:v>103.88771979883727</c:v>
                </c:pt>
                <c:pt idx="8">
                  <c:v>103.89770660199024</c:v>
                </c:pt>
                <c:pt idx="9">
                  <c:v>104.11670292827337</c:v>
                </c:pt>
                <c:pt idx="10">
                  <c:v>102.96180047793989</c:v>
                </c:pt>
                <c:pt idx="11">
                  <c:v>101.87466562043016</c:v>
                </c:pt>
                <c:pt idx="12">
                  <c:v>103.58597567500091</c:v>
                </c:pt>
                <c:pt idx="13">
                  <c:v>104.4669543817099</c:v>
                </c:pt>
                <c:pt idx="14">
                  <c:v>104.07960908799087</c:v>
                </c:pt>
                <c:pt idx="15">
                  <c:v>102.5209544530442</c:v>
                </c:pt>
                <c:pt idx="16">
                  <c:v>101.57220815351144</c:v>
                </c:pt>
                <c:pt idx="17">
                  <c:v>99.636195027998724</c:v>
                </c:pt>
                <c:pt idx="18">
                  <c:v>98.566893747547894</c:v>
                </c:pt>
                <c:pt idx="19">
                  <c:v>97.261475906837404</c:v>
                </c:pt>
                <c:pt idx="20">
                  <c:v>101.87395227734781</c:v>
                </c:pt>
                <c:pt idx="21">
                  <c:v>104.48978136034528</c:v>
                </c:pt>
                <c:pt idx="22">
                  <c:v>105.50344188037239</c:v>
                </c:pt>
                <c:pt idx="23">
                  <c:v>106.25744551842212</c:v>
                </c:pt>
                <c:pt idx="24">
                  <c:v>106.46146163997577</c:v>
                </c:pt>
                <c:pt idx="25">
                  <c:v>107.82751364268647</c:v>
                </c:pt>
                <c:pt idx="26">
                  <c:v>107.78114634233336</c:v>
                </c:pt>
                <c:pt idx="27">
                  <c:v>107.7611727360274</c:v>
                </c:pt>
                <c:pt idx="28">
                  <c:v>108.23768591504083</c:v>
                </c:pt>
                <c:pt idx="29">
                  <c:v>108.16635160680528</c:v>
                </c:pt>
                <c:pt idx="30">
                  <c:v>109.24635303349146</c:v>
                </c:pt>
                <c:pt idx="31">
                  <c:v>109.23779291650318</c:v>
                </c:pt>
                <c:pt idx="32">
                  <c:v>108.49163605235937</c:v>
                </c:pt>
                <c:pt idx="33">
                  <c:v>107.85034062132182</c:v>
                </c:pt>
                <c:pt idx="34">
                  <c:v>106.87163391233013</c:v>
                </c:pt>
                <c:pt idx="35">
                  <c:v>104.68809073724007</c:v>
                </c:pt>
                <c:pt idx="36">
                  <c:v>104.91707386667616</c:v>
                </c:pt>
                <c:pt idx="37">
                  <c:v>106.87306059849485</c:v>
                </c:pt>
                <c:pt idx="38">
                  <c:v>107.69625851553305</c:v>
                </c:pt>
                <c:pt idx="39">
                  <c:v>103.64304312158933</c:v>
                </c:pt>
                <c:pt idx="40">
                  <c:v>105.30085244498342</c:v>
                </c:pt>
                <c:pt idx="41">
                  <c:v>106.42436779969327</c:v>
                </c:pt>
                <c:pt idx="42">
                  <c:v>108.75343296358383</c:v>
                </c:pt>
                <c:pt idx="43">
                  <c:v>107.57784356386203</c:v>
                </c:pt>
                <c:pt idx="44">
                  <c:v>106.5599029853408</c:v>
                </c:pt>
                <c:pt idx="45">
                  <c:v>106.68901808324713</c:v>
                </c:pt>
                <c:pt idx="46">
                  <c:v>107.70339194635659</c:v>
                </c:pt>
                <c:pt idx="47">
                  <c:v>108.24838606127616</c:v>
                </c:pt>
                <c:pt idx="48">
                  <c:v>107.22259870884902</c:v>
                </c:pt>
                <c:pt idx="49">
                  <c:v>106.49855548025823</c:v>
                </c:pt>
                <c:pt idx="50">
                  <c:v>106.36302029461069</c:v>
                </c:pt>
                <c:pt idx="51">
                  <c:v>105.01337518279416</c:v>
                </c:pt>
                <c:pt idx="52">
                  <c:v>103.84777258622535</c:v>
                </c:pt>
                <c:pt idx="53">
                  <c:v>105.17530406248885</c:v>
                </c:pt>
                <c:pt idx="54">
                  <c:v>105.12108998822984</c:v>
                </c:pt>
                <c:pt idx="55">
                  <c:v>105.6803509647965</c:v>
                </c:pt>
                <c:pt idx="56">
                  <c:v>103.78713842422512</c:v>
                </c:pt>
                <c:pt idx="57">
                  <c:v>102.18568320433711</c:v>
                </c:pt>
                <c:pt idx="58">
                  <c:v>103.48682098655345</c:v>
                </c:pt>
                <c:pt idx="59">
                  <c:v>105.89649391875021</c:v>
                </c:pt>
                <c:pt idx="60">
                  <c:v>104.79509219959338</c:v>
                </c:pt>
                <c:pt idx="61">
                  <c:v>106.05556942611547</c:v>
                </c:pt>
                <c:pt idx="62">
                  <c:v>104.41773370902733</c:v>
                </c:pt>
                <c:pt idx="63">
                  <c:v>104.74373149766379</c:v>
                </c:pt>
                <c:pt idx="64">
                  <c:v>105.71102471733781</c:v>
                </c:pt>
                <c:pt idx="65">
                  <c:v>106.10122338338624</c:v>
                </c:pt>
                <c:pt idx="66">
                  <c:v>105.82373292434997</c:v>
                </c:pt>
                <c:pt idx="67">
                  <c:v>102.08510182972501</c:v>
                </c:pt>
                <c:pt idx="68">
                  <c:v>103.4689874094946</c:v>
                </c:pt>
                <c:pt idx="69">
                  <c:v>104.01612155366125</c:v>
                </c:pt>
                <c:pt idx="70">
                  <c:v>104.27577843563864</c:v>
                </c:pt>
                <c:pt idx="71">
                  <c:v>102.43249991083214</c:v>
                </c:pt>
                <c:pt idx="72">
                  <c:v>101.98238042586584</c:v>
                </c:pt>
                <c:pt idx="73">
                  <c:v>102.76563113029214</c:v>
                </c:pt>
                <c:pt idx="74">
                  <c:v>102.3033848129258</c:v>
                </c:pt>
                <c:pt idx="75">
                  <c:v>103.32774547918824</c:v>
                </c:pt>
                <c:pt idx="76">
                  <c:v>104.52687520062777</c:v>
                </c:pt>
                <c:pt idx="77">
                  <c:v>106.03559581980957</c:v>
                </c:pt>
                <c:pt idx="78">
                  <c:v>106.25173877376328</c:v>
                </c:pt>
                <c:pt idx="79">
                  <c:v>104.36993972250959</c:v>
                </c:pt>
                <c:pt idx="80">
                  <c:v>104.3920533580626</c:v>
                </c:pt>
                <c:pt idx="81">
                  <c:v>103.40977993365912</c:v>
                </c:pt>
                <c:pt idx="82">
                  <c:v>104.27577843563866</c:v>
                </c:pt>
                <c:pt idx="83">
                  <c:v>105.03834219067663</c:v>
                </c:pt>
                <c:pt idx="84">
                  <c:v>105.74027178371442</c:v>
                </c:pt>
                <c:pt idx="85">
                  <c:v>106.5905767378821</c:v>
                </c:pt>
                <c:pt idx="86">
                  <c:v>105.9371544744445</c:v>
                </c:pt>
                <c:pt idx="87">
                  <c:v>104.83646609837002</c:v>
                </c:pt>
                <c:pt idx="88">
                  <c:v>104.70307094196956</c:v>
                </c:pt>
                <c:pt idx="89">
                  <c:v>106.45361486606986</c:v>
                </c:pt>
                <c:pt idx="90">
                  <c:v>107.77258622534511</c:v>
                </c:pt>
                <c:pt idx="91">
                  <c:v>107.21689196419021</c:v>
                </c:pt>
                <c:pt idx="92">
                  <c:v>106.33163319898709</c:v>
                </c:pt>
                <c:pt idx="93">
                  <c:v>108.25195277668797</c:v>
                </c:pt>
                <c:pt idx="94">
                  <c:v>108.41174162713561</c:v>
                </c:pt>
                <c:pt idx="95">
                  <c:v>108.48878268003</c:v>
                </c:pt>
                <c:pt idx="96">
                  <c:v>109.15219174662057</c:v>
                </c:pt>
                <c:pt idx="97">
                  <c:v>109.41184862859797</c:v>
                </c:pt>
                <c:pt idx="98">
                  <c:v>110.10949816314161</c:v>
                </c:pt>
                <c:pt idx="99">
                  <c:v>111.15882583728649</c:v>
                </c:pt>
                <c:pt idx="100">
                  <c:v>111.1024717337804</c:v>
                </c:pt>
                <c:pt idx="101">
                  <c:v>111.11174519385105</c:v>
                </c:pt>
                <c:pt idx="102">
                  <c:v>111.92638299390097</c:v>
                </c:pt>
                <c:pt idx="103">
                  <c:v>111.78300103434752</c:v>
                </c:pt>
                <c:pt idx="104">
                  <c:v>112.36366230338487</c:v>
                </c:pt>
                <c:pt idx="105">
                  <c:v>112.28091450583163</c:v>
                </c:pt>
                <c:pt idx="106">
                  <c:v>111.53404429860547</c:v>
                </c:pt>
                <c:pt idx="107">
                  <c:v>112.26450761493746</c:v>
                </c:pt>
                <c:pt idx="108">
                  <c:v>112.70392695366843</c:v>
                </c:pt>
                <c:pt idx="109">
                  <c:v>112.79309483896287</c:v>
                </c:pt>
                <c:pt idx="110">
                  <c:v>113.20255376823489</c:v>
                </c:pt>
                <c:pt idx="111">
                  <c:v>112.4770838534794</c:v>
                </c:pt>
                <c:pt idx="112">
                  <c:v>111.93351642472453</c:v>
                </c:pt>
                <c:pt idx="113">
                  <c:v>111.8764489781361</c:v>
                </c:pt>
                <c:pt idx="114">
                  <c:v>112.3265684631024</c:v>
                </c:pt>
                <c:pt idx="115">
                  <c:v>112.51417769376189</c:v>
                </c:pt>
                <c:pt idx="116">
                  <c:v>111.90212932910092</c:v>
                </c:pt>
                <c:pt idx="117">
                  <c:v>112.6404394193388</c:v>
                </c:pt>
                <c:pt idx="118">
                  <c:v>113.13906623390525</c:v>
                </c:pt>
                <c:pt idx="119">
                  <c:v>112.81306844526883</c:v>
                </c:pt>
                <c:pt idx="120">
                  <c:v>112.34083532474951</c:v>
                </c:pt>
                <c:pt idx="121">
                  <c:v>112.14823269251353</c:v>
                </c:pt>
                <c:pt idx="122">
                  <c:v>111.85219531333601</c:v>
                </c:pt>
                <c:pt idx="123">
                  <c:v>112.15322609409003</c:v>
                </c:pt>
                <c:pt idx="124">
                  <c:v>112.95359703249285</c:v>
                </c:pt>
                <c:pt idx="125">
                  <c:v>112.83874879623362</c:v>
                </c:pt>
                <c:pt idx="126">
                  <c:v>113.27674144879988</c:v>
                </c:pt>
                <c:pt idx="127">
                  <c:v>112.19388664978429</c:v>
                </c:pt>
                <c:pt idx="128">
                  <c:v>111.92210293540685</c:v>
                </c:pt>
                <c:pt idx="129">
                  <c:v>111.94207654171282</c:v>
                </c:pt>
                <c:pt idx="130">
                  <c:v>112.79666155437465</c:v>
                </c:pt>
                <c:pt idx="131">
                  <c:v>113.09341227663452</c:v>
                </c:pt>
                <c:pt idx="132">
                  <c:v>113.59417912044805</c:v>
                </c:pt>
                <c:pt idx="133">
                  <c:v>113.58847237578919</c:v>
                </c:pt>
                <c:pt idx="134">
                  <c:v>112.36865570496136</c:v>
                </c:pt>
                <c:pt idx="135">
                  <c:v>111.51050397688775</c:v>
                </c:pt>
                <c:pt idx="136">
                  <c:v>112.88012269501023</c:v>
                </c:pt>
                <c:pt idx="137">
                  <c:v>113.10839248136398</c:v>
                </c:pt>
                <c:pt idx="138">
                  <c:v>112.88297606733964</c:v>
                </c:pt>
                <c:pt idx="139">
                  <c:v>112.32656846310238</c:v>
                </c:pt>
                <c:pt idx="140">
                  <c:v>112.0619181795485</c:v>
                </c:pt>
                <c:pt idx="141">
                  <c:v>112.55483824945613</c:v>
                </c:pt>
                <c:pt idx="142">
                  <c:v>112.44498341477339</c:v>
                </c:pt>
                <c:pt idx="143">
                  <c:v>113.31597531832941</c:v>
                </c:pt>
                <c:pt idx="144">
                  <c:v>115.0679459285944</c:v>
                </c:pt>
                <c:pt idx="145">
                  <c:v>115.98102507400939</c:v>
                </c:pt>
                <c:pt idx="146">
                  <c:v>116.23640189749264</c:v>
                </c:pt>
                <c:pt idx="147">
                  <c:v>115.83407639904416</c:v>
                </c:pt>
                <c:pt idx="148">
                  <c:v>115.97745835859759</c:v>
                </c:pt>
                <c:pt idx="149">
                  <c:v>116.1329671505511</c:v>
                </c:pt>
                <c:pt idx="150">
                  <c:v>116.1486606983629</c:v>
                </c:pt>
                <c:pt idx="151">
                  <c:v>116.73431536897672</c:v>
                </c:pt>
                <c:pt idx="152">
                  <c:v>117.90919142561616</c:v>
                </c:pt>
                <c:pt idx="153">
                  <c:v>118.15172807361701</c:v>
                </c:pt>
                <c:pt idx="154">
                  <c:v>118.51909976103006</c:v>
                </c:pt>
                <c:pt idx="155">
                  <c:v>118.19310197239363</c:v>
                </c:pt>
                <c:pt idx="156">
                  <c:v>117.34850376288476</c:v>
                </c:pt>
                <c:pt idx="157">
                  <c:v>117.67664158076828</c:v>
                </c:pt>
                <c:pt idx="158">
                  <c:v>118.59043406926563</c:v>
                </c:pt>
                <c:pt idx="159">
                  <c:v>118.66248172058353</c:v>
                </c:pt>
                <c:pt idx="160">
                  <c:v>118.67817526839535</c:v>
                </c:pt>
                <c:pt idx="161">
                  <c:v>119.16538859364411</c:v>
                </c:pt>
                <c:pt idx="162">
                  <c:v>120.77683061668507</c:v>
                </c:pt>
                <c:pt idx="163">
                  <c:v>122.21136355530192</c:v>
                </c:pt>
                <c:pt idx="164">
                  <c:v>121.8126047722652</c:v>
                </c:pt>
                <c:pt idx="165">
                  <c:v>122.93897349930448</c:v>
                </c:pt>
                <c:pt idx="166">
                  <c:v>123.57670221493026</c:v>
                </c:pt>
                <c:pt idx="167">
                  <c:v>123.96333416556693</c:v>
                </c:pt>
                <c:pt idx="168">
                  <c:v>123.85133930163713</c:v>
                </c:pt>
                <c:pt idx="169">
                  <c:v>123.78999179655456</c:v>
                </c:pt>
                <c:pt idx="170">
                  <c:v>123.90270000356671</c:v>
                </c:pt>
                <c:pt idx="171">
                  <c:v>123.80283197203694</c:v>
                </c:pt>
                <c:pt idx="172">
                  <c:v>123.97902771337874</c:v>
                </c:pt>
                <c:pt idx="173">
                  <c:v>124.97414131326462</c:v>
                </c:pt>
                <c:pt idx="174">
                  <c:v>125.75881870385562</c:v>
                </c:pt>
                <c:pt idx="175">
                  <c:v>125.44280771837217</c:v>
                </c:pt>
                <c:pt idx="176">
                  <c:v>124.09958269429684</c:v>
                </c:pt>
                <c:pt idx="177">
                  <c:v>125.2773121232657</c:v>
                </c:pt>
                <c:pt idx="178">
                  <c:v>125.16817063166533</c:v>
                </c:pt>
                <c:pt idx="179">
                  <c:v>127.13913756821347</c:v>
                </c:pt>
                <c:pt idx="180">
                  <c:v>127.35456717908482</c:v>
                </c:pt>
                <c:pt idx="181">
                  <c:v>127.36812069764957</c:v>
                </c:pt>
                <c:pt idx="182">
                  <c:v>126.60841031494101</c:v>
                </c:pt>
                <c:pt idx="183">
                  <c:v>126.34233334522243</c:v>
                </c:pt>
                <c:pt idx="184">
                  <c:v>125.67821093554952</c:v>
                </c:pt>
                <c:pt idx="185">
                  <c:v>125.06402254164145</c:v>
                </c:pt>
                <c:pt idx="186">
                  <c:v>126.19966472875134</c:v>
                </c:pt>
                <c:pt idx="187">
                  <c:v>127.13414416663699</c:v>
                </c:pt>
                <c:pt idx="188">
                  <c:v>125.87652031244433</c:v>
                </c:pt>
                <c:pt idx="189">
                  <c:v>126.90658772336563</c:v>
                </c:pt>
                <c:pt idx="190">
                  <c:v>127.65417127367415</c:v>
                </c:pt>
                <c:pt idx="191">
                  <c:v>128.01654955951071</c:v>
                </c:pt>
                <c:pt idx="192">
                  <c:v>128.34468737739422</c:v>
                </c:pt>
                <c:pt idx="193">
                  <c:v>129.55594393123377</c:v>
                </c:pt>
                <c:pt idx="194">
                  <c:v>130.81713450083822</c:v>
                </c:pt>
                <c:pt idx="195">
                  <c:v>131.80511466990052</c:v>
                </c:pt>
                <c:pt idx="196">
                  <c:v>131.38923565288729</c:v>
                </c:pt>
                <c:pt idx="197">
                  <c:v>130.30352748154226</c:v>
                </c:pt>
                <c:pt idx="198">
                  <c:v>129.67221885365768</c:v>
                </c:pt>
                <c:pt idx="199">
                  <c:v>129.22138602560906</c:v>
                </c:pt>
                <c:pt idx="200">
                  <c:v>129.29628704925639</c:v>
                </c:pt>
                <c:pt idx="201">
                  <c:v>130.3163676570247</c:v>
                </c:pt>
                <c:pt idx="202">
                  <c:v>129.90690872775264</c:v>
                </c:pt>
                <c:pt idx="203">
                  <c:v>127.38381424546138</c:v>
                </c:pt>
                <c:pt idx="204">
                  <c:v>126.05984948460966</c:v>
                </c:pt>
                <c:pt idx="205">
                  <c:v>127.89991796554557</c:v>
                </c:pt>
                <c:pt idx="206">
                  <c:v>127.6095873310269</c:v>
                </c:pt>
                <c:pt idx="207">
                  <c:v>127.18336483931951</c:v>
                </c:pt>
                <c:pt idx="208">
                  <c:v>127.80825337946288</c:v>
                </c:pt>
                <c:pt idx="209">
                  <c:v>128.89075150693731</c:v>
                </c:pt>
                <c:pt idx="210">
                  <c:v>128.71740913792493</c:v>
                </c:pt>
                <c:pt idx="211">
                  <c:v>128.52444983414779</c:v>
                </c:pt>
                <c:pt idx="212">
                  <c:v>127.50008916788533</c:v>
                </c:pt>
                <c:pt idx="213">
                  <c:v>129.13471484110289</c:v>
                </c:pt>
                <c:pt idx="214">
                  <c:v>129.18250882762072</c:v>
                </c:pt>
                <c:pt idx="215">
                  <c:v>128.39604807932383</c:v>
                </c:pt>
                <c:pt idx="216">
                  <c:v>127.67878161001543</c:v>
                </c:pt>
                <c:pt idx="217">
                  <c:v>126.72397189428263</c:v>
                </c:pt>
                <c:pt idx="218">
                  <c:v>124.23975460997974</c:v>
                </c:pt>
                <c:pt idx="219">
                  <c:v>124.85893640546429</c:v>
                </c:pt>
                <c:pt idx="220">
                  <c:v>124.22905446374442</c:v>
                </c:pt>
                <c:pt idx="221">
                  <c:v>125.09362627955925</c:v>
                </c:pt>
                <c:pt idx="222">
                  <c:v>121.45700324571111</c:v>
                </c:pt>
                <c:pt idx="223">
                  <c:v>121.65317259335885</c:v>
                </c:pt>
                <c:pt idx="224">
                  <c:v>121.14848236259236</c:v>
                </c:pt>
                <c:pt idx="225">
                  <c:v>122.45889360487935</c:v>
                </c:pt>
                <c:pt idx="226">
                  <c:v>124.13346649070878</c:v>
                </c:pt>
                <c:pt idx="227">
                  <c:v>122.67146984342126</c:v>
                </c:pt>
                <c:pt idx="228">
                  <c:v>120.64236544566116</c:v>
                </c:pt>
                <c:pt idx="229">
                  <c:v>122.52880122695016</c:v>
                </c:pt>
                <c:pt idx="230">
                  <c:v>124.61925312979284</c:v>
                </c:pt>
                <c:pt idx="231">
                  <c:v>124.95523772158225</c:v>
                </c:pt>
                <c:pt idx="232">
                  <c:v>124.91564718051153</c:v>
                </c:pt>
                <c:pt idx="233">
                  <c:v>123.89520990120205</c:v>
                </c:pt>
                <c:pt idx="234">
                  <c:v>123.58597567500097</c:v>
                </c:pt>
                <c:pt idx="235">
                  <c:v>122.84766558476306</c:v>
                </c:pt>
                <c:pt idx="236">
                  <c:v>123.04026821699904</c:v>
                </c:pt>
                <c:pt idx="237">
                  <c:v>121.16274922423946</c:v>
                </c:pt>
                <c:pt idx="238">
                  <c:v>118.51624638870071</c:v>
                </c:pt>
                <c:pt idx="239">
                  <c:v>119.63369832721052</c:v>
                </c:pt>
                <c:pt idx="240">
                  <c:v>120.95052965723873</c:v>
                </c:pt>
                <c:pt idx="241">
                  <c:v>121.78621107821813</c:v>
                </c:pt>
                <c:pt idx="242">
                  <c:v>121.29507436601641</c:v>
                </c:pt>
                <c:pt idx="243">
                  <c:v>121.88358240895967</c:v>
                </c:pt>
                <c:pt idx="244">
                  <c:v>122.93219674002219</c:v>
                </c:pt>
                <c:pt idx="245">
                  <c:v>122.79202482433934</c:v>
                </c:pt>
                <c:pt idx="246">
                  <c:v>122.72318721689206</c:v>
                </c:pt>
                <c:pt idx="247">
                  <c:v>123.79391518350759</c:v>
                </c:pt>
              </c:numCache>
            </c:numRef>
          </c:val>
          <c:smooth val="0"/>
          <c:extLst>
            <c:ext xmlns:c16="http://schemas.microsoft.com/office/drawing/2014/chart" uri="{C3380CC4-5D6E-409C-BE32-E72D297353CC}">
              <c16:uniqueId val="{00000000-81B4-44B6-B30E-4B6725A877F0}"/>
            </c:ext>
          </c:extLst>
        </c:ser>
        <c:ser>
          <c:idx val="1"/>
          <c:order val="1"/>
          <c:tx>
            <c:strRef>
              <c:f>'[Chart in Microsoft Word]Indices'!$F$1</c:f>
              <c:strCache>
                <c:ptCount val="1"/>
                <c:pt idx="0">
                  <c:v> BSE </c:v>
                </c:pt>
              </c:strCache>
            </c:strRef>
          </c:tx>
          <c:spPr>
            <a:ln w="28575" cap="rnd">
              <a:solidFill>
                <a:schemeClr val="accent2"/>
              </a:solidFill>
              <a:round/>
            </a:ln>
            <a:effectLst/>
          </c:spPr>
          <c:marker>
            <c:symbol val="none"/>
          </c:marker>
          <c:cat>
            <c:numRef>
              <c:f>'[Chart in Microsoft Word]Indices'!$D$2:$D$249</c:f>
              <c:numCache>
                <c:formatCode>d\-mmm\-yy</c:formatCode>
                <c:ptCount val="248"/>
                <c:pt idx="0">
                  <c:v>44197</c:v>
                </c:pt>
                <c:pt idx="1">
                  <c:v>44200</c:v>
                </c:pt>
                <c:pt idx="2">
                  <c:v>44201</c:v>
                </c:pt>
                <c:pt idx="3">
                  <c:v>44202</c:v>
                </c:pt>
                <c:pt idx="4">
                  <c:v>44203</c:v>
                </c:pt>
                <c:pt idx="5">
                  <c:v>44204</c:v>
                </c:pt>
                <c:pt idx="6">
                  <c:v>44207</c:v>
                </c:pt>
                <c:pt idx="7">
                  <c:v>44208</c:v>
                </c:pt>
                <c:pt idx="8">
                  <c:v>44209</c:v>
                </c:pt>
                <c:pt idx="9">
                  <c:v>44210</c:v>
                </c:pt>
                <c:pt idx="10">
                  <c:v>44211</c:v>
                </c:pt>
                <c:pt idx="11">
                  <c:v>44214</c:v>
                </c:pt>
                <c:pt idx="12">
                  <c:v>44215</c:v>
                </c:pt>
                <c:pt idx="13">
                  <c:v>44216</c:v>
                </c:pt>
                <c:pt idx="14">
                  <c:v>44217</c:v>
                </c:pt>
                <c:pt idx="15">
                  <c:v>44218</c:v>
                </c:pt>
                <c:pt idx="16">
                  <c:v>44221</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44267</c:v>
                </c:pt>
                <c:pt idx="49">
                  <c:v>44270</c:v>
                </c:pt>
                <c:pt idx="50">
                  <c:v>44271</c:v>
                </c:pt>
                <c:pt idx="51">
                  <c:v>44272</c:v>
                </c:pt>
                <c:pt idx="52">
                  <c:v>44273</c:v>
                </c:pt>
                <c:pt idx="53">
                  <c:v>44274</c:v>
                </c:pt>
                <c:pt idx="54">
                  <c:v>44277</c:v>
                </c:pt>
                <c:pt idx="55">
                  <c:v>44278</c:v>
                </c:pt>
                <c:pt idx="56">
                  <c:v>44279</c:v>
                </c:pt>
                <c:pt idx="57">
                  <c:v>44280</c:v>
                </c:pt>
                <c:pt idx="58">
                  <c:v>44281</c:v>
                </c:pt>
                <c:pt idx="59">
                  <c:v>44285</c:v>
                </c:pt>
                <c:pt idx="60">
                  <c:v>44286</c:v>
                </c:pt>
                <c:pt idx="61">
                  <c:v>44287</c:v>
                </c:pt>
                <c:pt idx="62">
                  <c:v>44291</c:v>
                </c:pt>
                <c:pt idx="63">
                  <c:v>44292</c:v>
                </c:pt>
                <c:pt idx="64">
                  <c:v>44293</c:v>
                </c:pt>
                <c:pt idx="65">
                  <c:v>44294</c:v>
                </c:pt>
                <c:pt idx="66">
                  <c:v>44295</c:v>
                </c:pt>
                <c:pt idx="67">
                  <c:v>44298</c:v>
                </c:pt>
                <c:pt idx="68">
                  <c:v>44299</c:v>
                </c:pt>
                <c:pt idx="69">
                  <c:v>44301</c:v>
                </c:pt>
                <c:pt idx="70">
                  <c:v>44302</c:v>
                </c:pt>
                <c:pt idx="71">
                  <c:v>44305</c:v>
                </c:pt>
                <c:pt idx="72">
                  <c:v>44306</c:v>
                </c:pt>
                <c:pt idx="73">
                  <c:v>44308</c:v>
                </c:pt>
                <c:pt idx="74">
                  <c:v>44309</c:v>
                </c:pt>
                <c:pt idx="75">
                  <c:v>44312</c:v>
                </c:pt>
                <c:pt idx="76">
                  <c:v>44313</c:v>
                </c:pt>
                <c:pt idx="77">
                  <c:v>44314</c:v>
                </c:pt>
                <c:pt idx="78">
                  <c:v>44315</c:v>
                </c:pt>
                <c:pt idx="79">
                  <c:v>44316</c:v>
                </c:pt>
                <c:pt idx="80">
                  <c:v>44319</c:v>
                </c:pt>
                <c:pt idx="81">
                  <c:v>44320</c:v>
                </c:pt>
                <c:pt idx="82">
                  <c:v>44321</c:v>
                </c:pt>
                <c:pt idx="83">
                  <c:v>44322</c:v>
                </c:pt>
                <c:pt idx="84">
                  <c:v>44323</c:v>
                </c:pt>
                <c:pt idx="85">
                  <c:v>44326</c:v>
                </c:pt>
                <c:pt idx="86">
                  <c:v>44327</c:v>
                </c:pt>
                <c:pt idx="87">
                  <c:v>44328</c:v>
                </c:pt>
                <c:pt idx="88">
                  <c:v>44330</c:v>
                </c:pt>
                <c:pt idx="89">
                  <c:v>44333</c:v>
                </c:pt>
                <c:pt idx="90">
                  <c:v>44334</c:v>
                </c:pt>
                <c:pt idx="91">
                  <c:v>44335</c:v>
                </c:pt>
                <c:pt idx="92">
                  <c:v>44336</c:v>
                </c:pt>
                <c:pt idx="93">
                  <c:v>44337</c:v>
                </c:pt>
                <c:pt idx="94">
                  <c:v>44340</c:v>
                </c:pt>
                <c:pt idx="95">
                  <c:v>44341</c:v>
                </c:pt>
                <c:pt idx="96">
                  <c:v>44342</c:v>
                </c:pt>
                <c:pt idx="97">
                  <c:v>44343</c:v>
                </c:pt>
                <c:pt idx="98">
                  <c:v>44344</c:v>
                </c:pt>
                <c:pt idx="99">
                  <c:v>44347</c:v>
                </c:pt>
                <c:pt idx="100">
                  <c:v>44348</c:v>
                </c:pt>
                <c:pt idx="101">
                  <c:v>44349</c:v>
                </c:pt>
                <c:pt idx="102">
                  <c:v>44350</c:v>
                </c:pt>
                <c:pt idx="103">
                  <c:v>44351</c:v>
                </c:pt>
                <c:pt idx="104">
                  <c:v>44354</c:v>
                </c:pt>
                <c:pt idx="105">
                  <c:v>44355</c:v>
                </c:pt>
                <c:pt idx="106">
                  <c:v>44356</c:v>
                </c:pt>
                <c:pt idx="107">
                  <c:v>44357</c:v>
                </c:pt>
                <c:pt idx="108">
                  <c:v>44358</c:v>
                </c:pt>
                <c:pt idx="109">
                  <c:v>44361</c:v>
                </c:pt>
                <c:pt idx="110">
                  <c:v>44362</c:v>
                </c:pt>
                <c:pt idx="111">
                  <c:v>44363</c:v>
                </c:pt>
                <c:pt idx="112">
                  <c:v>44364</c:v>
                </c:pt>
                <c:pt idx="113">
                  <c:v>44365</c:v>
                </c:pt>
                <c:pt idx="114">
                  <c:v>44368</c:v>
                </c:pt>
                <c:pt idx="115">
                  <c:v>44369</c:v>
                </c:pt>
                <c:pt idx="116">
                  <c:v>44370</c:v>
                </c:pt>
                <c:pt idx="117">
                  <c:v>44371</c:v>
                </c:pt>
                <c:pt idx="118">
                  <c:v>44372</c:v>
                </c:pt>
                <c:pt idx="119">
                  <c:v>44375</c:v>
                </c:pt>
                <c:pt idx="120">
                  <c:v>44376</c:v>
                </c:pt>
                <c:pt idx="121">
                  <c:v>44377</c:v>
                </c:pt>
                <c:pt idx="122">
                  <c:v>44378</c:v>
                </c:pt>
                <c:pt idx="123">
                  <c:v>44379</c:v>
                </c:pt>
                <c:pt idx="124">
                  <c:v>44382</c:v>
                </c:pt>
                <c:pt idx="125">
                  <c:v>44383</c:v>
                </c:pt>
                <c:pt idx="126">
                  <c:v>44384</c:v>
                </c:pt>
                <c:pt idx="127">
                  <c:v>44385</c:v>
                </c:pt>
                <c:pt idx="128">
                  <c:v>44386</c:v>
                </c:pt>
                <c:pt idx="129">
                  <c:v>44389</c:v>
                </c:pt>
                <c:pt idx="130">
                  <c:v>44390</c:v>
                </c:pt>
                <c:pt idx="131">
                  <c:v>44391</c:v>
                </c:pt>
                <c:pt idx="132">
                  <c:v>44392</c:v>
                </c:pt>
                <c:pt idx="133">
                  <c:v>44393</c:v>
                </c:pt>
                <c:pt idx="134">
                  <c:v>44396</c:v>
                </c:pt>
                <c:pt idx="135">
                  <c:v>44397</c:v>
                </c:pt>
                <c:pt idx="136">
                  <c:v>44399</c:v>
                </c:pt>
                <c:pt idx="137">
                  <c:v>44400</c:v>
                </c:pt>
                <c:pt idx="138">
                  <c:v>44403</c:v>
                </c:pt>
                <c:pt idx="139">
                  <c:v>44404</c:v>
                </c:pt>
                <c:pt idx="140">
                  <c:v>44405</c:v>
                </c:pt>
                <c:pt idx="141">
                  <c:v>44406</c:v>
                </c:pt>
                <c:pt idx="142">
                  <c:v>44407</c:v>
                </c:pt>
                <c:pt idx="143">
                  <c:v>44410</c:v>
                </c:pt>
                <c:pt idx="144">
                  <c:v>44411</c:v>
                </c:pt>
                <c:pt idx="145">
                  <c:v>44412</c:v>
                </c:pt>
                <c:pt idx="146">
                  <c:v>44413</c:v>
                </c:pt>
                <c:pt idx="147">
                  <c:v>44414</c:v>
                </c:pt>
                <c:pt idx="148">
                  <c:v>44417</c:v>
                </c:pt>
                <c:pt idx="149">
                  <c:v>44418</c:v>
                </c:pt>
                <c:pt idx="150">
                  <c:v>44419</c:v>
                </c:pt>
                <c:pt idx="151">
                  <c:v>44420</c:v>
                </c:pt>
                <c:pt idx="152">
                  <c:v>44421</c:v>
                </c:pt>
                <c:pt idx="153">
                  <c:v>44424</c:v>
                </c:pt>
                <c:pt idx="154">
                  <c:v>44425</c:v>
                </c:pt>
                <c:pt idx="155">
                  <c:v>44426</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44452</c:v>
                </c:pt>
                <c:pt idx="172">
                  <c:v>44453</c:v>
                </c:pt>
                <c:pt idx="173">
                  <c:v>44454</c:v>
                </c:pt>
                <c:pt idx="174">
                  <c:v>44455</c:v>
                </c:pt>
                <c:pt idx="175">
                  <c:v>44456</c:v>
                </c:pt>
                <c:pt idx="176">
                  <c:v>44459</c:v>
                </c:pt>
                <c:pt idx="177">
                  <c:v>44460</c:v>
                </c:pt>
                <c:pt idx="178">
                  <c:v>44461</c:v>
                </c:pt>
                <c:pt idx="179">
                  <c:v>44462</c:v>
                </c:pt>
                <c:pt idx="180">
                  <c:v>44463</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44487</c:v>
                </c:pt>
                <c:pt idx="196">
                  <c:v>44488</c:v>
                </c:pt>
                <c:pt idx="197">
                  <c:v>44489</c:v>
                </c:pt>
                <c:pt idx="198">
                  <c:v>44490</c:v>
                </c:pt>
                <c:pt idx="199">
                  <c:v>44491</c:v>
                </c:pt>
                <c:pt idx="200">
                  <c:v>44494</c:v>
                </c:pt>
                <c:pt idx="201">
                  <c:v>44495</c:v>
                </c:pt>
                <c:pt idx="202">
                  <c:v>44496</c:v>
                </c:pt>
                <c:pt idx="203">
                  <c:v>44497</c:v>
                </c:pt>
                <c:pt idx="204">
                  <c:v>44498</c:v>
                </c:pt>
                <c:pt idx="205">
                  <c:v>44501</c:v>
                </c:pt>
                <c:pt idx="206">
                  <c:v>44502</c:v>
                </c:pt>
                <c:pt idx="207">
                  <c:v>44503</c:v>
                </c:pt>
                <c:pt idx="208">
                  <c:v>44504</c:v>
                </c:pt>
                <c:pt idx="209">
                  <c:v>44508</c:v>
                </c:pt>
                <c:pt idx="210">
                  <c:v>44509</c:v>
                </c:pt>
                <c:pt idx="211">
                  <c:v>44510</c:v>
                </c:pt>
                <c:pt idx="212">
                  <c:v>44511</c:v>
                </c:pt>
                <c:pt idx="213">
                  <c:v>44512</c:v>
                </c:pt>
                <c:pt idx="214">
                  <c:v>44515</c:v>
                </c:pt>
                <c:pt idx="215">
                  <c:v>44516</c:v>
                </c:pt>
                <c:pt idx="216">
                  <c:v>44517</c:v>
                </c:pt>
                <c:pt idx="217">
                  <c:v>44518</c:v>
                </c:pt>
                <c:pt idx="218">
                  <c:v>44522</c:v>
                </c:pt>
                <c:pt idx="219">
                  <c:v>44523</c:v>
                </c:pt>
                <c:pt idx="220">
                  <c:v>44524</c:v>
                </c:pt>
                <c:pt idx="221">
                  <c:v>44525</c:v>
                </c:pt>
                <c:pt idx="222">
                  <c:v>44526</c:v>
                </c:pt>
                <c:pt idx="223">
                  <c:v>44529</c:v>
                </c:pt>
                <c:pt idx="224">
                  <c:v>44530</c:v>
                </c:pt>
                <c:pt idx="225">
                  <c:v>44531</c:v>
                </c:pt>
                <c:pt idx="226">
                  <c:v>44532</c:v>
                </c:pt>
                <c:pt idx="227">
                  <c:v>44533</c:v>
                </c:pt>
                <c:pt idx="228">
                  <c:v>44536</c:v>
                </c:pt>
                <c:pt idx="229">
                  <c:v>44537</c:v>
                </c:pt>
                <c:pt idx="230">
                  <c:v>44538</c:v>
                </c:pt>
                <c:pt idx="231">
                  <c:v>44539</c:v>
                </c:pt>
                <c:pt idx="232">
                  <c:v>44540</c:v>
                </c:pt>
                <c:pt idx="233">
                  <c:v>44543</c:v>
                </c:pt>
                <c:pt idx="234">
                  <c:v>44544</c:v>
                </c:pt>
                <c:pt idx="235">
                  <c:v>44545</c:v>
                </c:pt>
                <c:pt idx="236">
                  <c:v>44546</c:v>
                </c:pt>
                <c:pt idx="237">
                  <c:v>44547</c:v>
                </c:pt>
                <c:pt idx="238">
                  <c:v>44550</c:v>
                </c:pt>
                <c:pt idx="239">
                  <c:v>44551</c:v>
                </c:pt>
                <c:pt idx="240">
                  <c:v>44552</c:v>
                </c:pt>
                <c:pt idx="241">
                  <c:v>44553</c:v>
                </c:pt>
                <c:pt idx="242">
                  <c:v>44554</c:v>
                </c:pt>
                <c:pt idx="243">
                  <c:v>44557</c:v>
                </c:pt>
                <c:pt idx="244">
                  <c:v>44558</c:v>
                </c:pt>
                <c:pt idx="245">
                  <c:v>44559</c:v>
                </c:pt>
                <c:pt idx="246">
                  <c:v>44560</c:v>
                </c:pt>
                <c:pt idx="247">
                  <c:v>44561</c:v>
                </c:pt>
              </c:numCache>
            </c:numRef>
          </c:cat>
          <c:val>
            <c:numRef>
              <c:f>'[Chart in Microsoft Word]Indices'!$F$2:$F$249</c:f>
              <c:numCache>
                <c:formatCode>0</c:formatCode>
                <c:ptCount val="248"/>
                <c:pt idx="0">
                  <c:v>100</c:v>
                </c:pt>
                <c:pt idx="1">
                  <c:v>100.64300486745074</c:v>
                </c:pt>
                <c:pt idx="2">
                  <c:v>101.18824291294992</c:v>
                </c:pt>
                <c:pt idx="3">
                  <c:v>100.6373644738766</c:v>
                </c:pt>
                <c:pt idx="4">
                  <c:v>100.46857047358415</c:v>
                </c:pt>
                <c:pt idx="5">
                  <c:v>101.90833315924711</c:v>
                </c:pt>
                <c:pt idx="6">
                  <c:v>102.92527523031606</c:v>
                </c:pt>
                <c:pt idx="7">
                  <c:v>103.44293801834171</c:v>
                </c:pt>
                <c:pt idx="8">
                  <c:v>103.39112995884601</c:v>
                </c:pt>
                <c:pt idx="9">
                  <c:v>103.5831122438321</c:v>
                </c:pt>
                <c:pt idx="10">
                  <c:v>102.43518769976393</c:v>
                </c:pt>
                <c:pt idx="11">
                  <c:v>101.45250579707117</c:v>
                </c:pt>
                <c:pt idx="12">
                  <c:v>103.19476070108003</c:v>
                </c:pt>
                <c:pt idx="13">
                  <c:v>104.01742254904006</c:v>
                </c:pt>
                <c:pt idx="14">
                  <c:v>103.66792705090975</c:v>
                </c:pt>
                <c:pt idx="15">
                  <c:v>102.10888048632724</c:v>
                </c:pt>
                <c:pt idx="16">
                  <c:v>100.99981198688083</c:v>
                </c:pt>
                <c:pt idx="17">
                  <c:v>99.040924188932266</c:v>
                </c:pt>
                <c:pt idx="18">
                  <c:v>97.922246130063272</c:v>
                </c:pt>
                <c:pt idx="19">
                  <c:v>96.692640330903075</c:v>
                </c:pt>
                <c:pt idx="20">
                  <c:v>101.52833775512333</c:v>
                </c:pt>
                <c:pt idx="21">
                  <c:v>104.02912114311972</c:v>
                </c:pt>
                <c:pt idx="22">
                  <c:v>104.98610791953037</c:v>
                </c:pt>
                <c:pt idx="23">
                  <c:v>105.73502684409532</c:v>
                </c:pt>
                <c:pt idx="24">
                  <c:v>105.98007060937138</c:v>
                </c:pt>
                <c:pt idx="25">
                  <c:v>107.26942279972423</c:v>
                </c:pt>
                <c:pt idx="26">
                  <c:v>107.22826881697964</c:v>
                </c:pt>
                <c:pt idx="27">
                  <c:v>107.18711483423506</c:v>
                </c:pt>
                <c:pt idx="28">
                  <c:v>107.65108943157362</c:v>
                </c:pt>
                <c:pt idx="29">
                  <c:v>107.67782907518432</c:v>
                </c:pt>
                <c:pt idx="30">
                  <c:v>108.9517224090747</c:v>
                </c:pt>
                <c:pt idx="31">
                  <c:v>108.84747957968617</c:v>
                </c:pt>
                <c:pt idx="32">
                  <c:v>108.01103010298937</c:v>
                </c:pt>
                <c:pt idx="33">
                  <c:v>107.21907706448845</c:v>
                </c:pt>
                <c:pt idx="34">
                  <c:v>106.31055589212221</c:v>
                </c:pt>
                <c:pt idx="35">
                  <c:v>103.91756669243138</c:v>
                </c:pt>
                <c:pt idx="36">
                  <c:v>103.93239883849668</c:v>
                </c:pt>
                <c:pt idx="37">
                  <c:v>106.0847312456913</c:v>
                </c:pt>
                <c:pt idx="38">
                  <c:v>106.62286657335639</c:v>
                </c:pt>
                <c:pt idx="39">
                  <c:v>102.57160166287153</c:v>
                </c:pt>
                <c:pt idx="40">
                  <c:v>104.13795984875382</c:v>
                </c:pt>
                <c:pt idx="41">
                  <c:v>105.0719672439365</c:v>
                </c:pt>
                <c:pt idx="42">
                  <c:v>107.46976122333861</c:v>
                </c:pt>
                <c:pt idx="43">
                  <c:v>106.21926507760756</c:v>
                </c:pt>
                <c:pt idx="44">
                  <c:v>105.29841860076452</c:v>
                </c:pt>
                <c:pt idx="45">
                  <c:v>105.37320604148815</c:v>
                </c:pt>
                <c:pt idx="46">
                  <c:v>106.59403789508859</c:v>
                </c:pt>
                <c:pt idx="47">
                  <c:v>107.12465269798817</c:v>
                </c:pt>
                <c:pt idx="48">
                  <c:v>106.10645720612496</c:v>
                </c:pt>
                <c:pt idx="49">
                  <c:v>105.27711044726222</c:v>
                </c:pt>
                <c:pt idx="50">
                  <c:v>105.21214146942687</c:v>
                </c:pt>
                <c:pt idx="51">
                  <c:v>104.03726837828228</c:v>
                </c:pt>
                <c:pt idx="52">
                  <c:v>102.81497420042187</c:v>
                </c:pt>
                <c:pt idx="53">
                  <c:v>104.15550773987329</c:v>
                </c:pt>
                <c:pt idx="54">
                  <c:v>103.97397062817261</c:v>
                </c:pt>
                <c:pt idx="55">
                  <c:v>104.5591092356221</c:v>
                </c:pt>
                <c:pt idx="56">
                  <c:v>102.7393511458354</c:v>
                </c:pt>
                <c:pt idx="57">
                  <c:v>101.19304769266111</c:v>
                </c:pt>
                <c:pt idx="58">
                  <c:v>102.38045499174821</c:v>
                </c:pt>
                <c:pt idx="59">
                  <c:v>104.73709498840576</c:v>
                </c:pt>
                <c:pt idx="60">
                  <c:v>103.42643464455065</c:v>
                </c:pt>
                <c:pt idx="61">
                  <c:v>104.51398608702911</c:v>
                </c:pt>
                <c:pt idx="62">
                  <c:v>102.69548141803665</c:v>
                </c:pt>
                <c:pt idx="63">
                  <c:v>102.78342977709993</c:v>
                </c:pt>
                <c:pt idx="64">
                  <c:v>103.74522133322185</c:v>
                </c:pt>
                <c:pt idx="65">
                  <c:v>103.92153585827981</c:v>
                </c:pt>
                <c:pt idx="66">
                  <c:v>103.59794438989736</c:v>
                </c:pt>
                <c:pt idx="67">
                  <c:v>100.03008209906196</c:v>
                </c:pt>
                <c:pt idx="68">
                  <c:v>101.41030729699798</c:v>
                </c:pt>
                <c:pt idx="69">
                  <c:v>101.95262069397724</c:v>
                </c:pt>
                <c:pt idx="70">
                  <c:v>102.01174037477276</c:v>
                </c:pt>
                <c:pt idx="71">
                  <c:v>100.16795838642958</c:v>
                </c:pt>
                <c:pt idx="72">
                  <c:v>99.659069543963682</c:v>
                </c:pt>
                <c:pt idx="73">
                  <c:v>100.44224863690484</c:v>
                </c:pt>
                <c:pt idx="74">
                  <c:v>100.01984582924226</c:v>
                </c:pt>
                <c:pt idx="75">
                  <c:v>101.08107543504141</c:v>
                </c:pt>
                <c:pt idx="76">
                  <c:v>102.24592115983198</c:v>
                </c:pt>
                <c:pt idx="77">
                  <c:v>103.89563182853198</c:v>
                </c:pt>
                <c:pt idx="78">
                  <c:v>103.9626898410244</c:v>
                </c:pt>
                <c:pt idx="79">
                  <c:v>101.90812425578133</c:v>
                </c:pt>
                <c:pt idx="80">
                  <c:v>101.7746349411936</c:v>
                </c:pt>
                <c:pt idx="81">
                  <c:v>100.80323382564909</c:v>
                </c:pt>
                <c:pt idx="82">
                  <c:v>101.68919342371881</c:v>
                </c:pt>
                <c:pt idx="83">
                  <c:v>102.25782865737733</c:v>
                </c:pt>
                <c:pt idx="84">
                  <c:v>102.79408385385105</c:v>
                </c:pt>
                <c:pt idx="85">
                  <c:v>103.41222920888248</c:v>
                </c:pt>
                <c:pt idx="86">
                  <c:v>102.70070400467934</c:v>
                </c:pt>
                <c:pt idx="87">
                  <c:v>101.71676868119232</c:v>
                </c:pt>
                <c:pt idx="88">
                  <c:v>101.80409032985845</c:v>
                </c:pt>
                <c:pt idx="89">
                  <c:v>103.5758006225322</c:v>
                </c:pt>
                <c:pt idx="90">
                  <c:v>104.85554325346246</c:v>
                </c:pt>
                <c:pt idx="91">
                  <c:v>104.24826087864786</c:v>
                </c:pt>
                <c:pt idx="92">
                  <c:v>103.54279387495026</c:v>
                </c:pt>
                <c:pt idx="93">
                  <c:v>105.58085608640235</c:v>
                </c:pt>
                <c:pt idx="94">
                  <c:v>105.81357454720161</c:v>
                </c:pt>
                <c:pt idx="95">
                  <c:v>105.78349244813958</c:v>
                </c:pt>
                <c:pt idx="96">
                  <c:v>106.57732561783187</c:v>
                </c:pt>
                <c:pt idx="97">
                  <c:v>106.78142430382907</c:v>
                </c:pt>
                <c:pt idx="98">
                  <c:v>107.42422026781412</c:v>
                </c:pt>
                <c:pt idx="99">
                  <c:v>108.49902859888434</c:v>
                </c:pt>
                <c:pt idx="100">
                  <c:v>108.49380601224163</c:v>
                </c:pt>
                <c:pt idx="101">
                  <c:v>108.31540245252658</c:v>
                </c:pt>
                <c:pt idx="102">
                  <c:v>109.11529382272442</c:v>
                </c:pt>
                <c:pt idx="103">
                  <c:v>108.83891453759207</c:v>
                </c:pt>
                <c:pt idx="104">
                  <c:v>109.31605005327027</c:v>
                </c:pt>
                <c:pt idx="105">
                  <c:v>109.20554011991048</c:v>
                </c:pt>
                <c:pt idx="106">
                  <c:v>108.5078025444441</c:v>
                </c:pt>
                <c:pt idx="107">
                  <c:v>109.25755708287191</c:v>
                </c:pt>
                <c:pt idx="108">
                  <c:v>109.62167582360182</c:v>
                </c:pt>
                <c:pt idx="109">
                  <c:v>109.78190478180022</c:v>
                </c:pt>
                <c:pt idx="110">
                  <c:v>110.24483486181023</c:v>
                </c:pt>
                <c:pt idx="111">
                  <c:v>109.6784975662745</c:v>
                </c:pt>
                <c:pt idx="112">
                  <c:v>109.30518707305342</c:v>
                </c:pt>
                <c:pt idx="113">
                  <c:v>109.34947460778361</c:v>
                </c:pt>
                <c:pt idx="114">
                  <c:v>109.82995257891315</c:v>
                </c:pt>
                <c:pt idx="115">
                  <c:v>109.85961687104376</c:v>
                </c:pt>
                <c:pt idx="116">
                  <c:v>109.26925567695154</c:v>
                </c:pt>
                <c:pt idx="117">
                  <c:v>110.09003739372024</c:v>
                </c:pt>
                <c:pt idx="118">
                  <c:v>110.56215922622144</c:v>
                </c:pt>
                <c:pt idx="119">
                  <c:v>110.16649606216954</c:v>
                </c:pt>
                <c:pt idx="120">
                  <c:v>109.77814451941745</c:v>
                </c:pt>
                <c:pt idx="121">
                  <c:v>109.63817919739276</c:v>
                </c:pt>
                <c:pt idx="122">
                  <c:v>109.29536861016511</c:v>
                </c:pt>
                <c:pt idx="123">
                  <c:v>109.64235726670692</c:v>
                </c:pt>
                <c:pt idx="124">
                  <c:v>110.46815266665261</c:v>
                </c:pt>
                <c:pt idx="125">
                  <c:v>110.42887881509941</c:v>
                </c:pt>
                <c:pt idx="126">
                  <c:v>110.83331592471107</c:v>
                </c:pt>
                <c:pt idx="127">
                  <c:v>109.81825398483349</c:v>
                </c:pt>
                <c:pt idx="128">
                  <c:v>109.43658735298406</c:v>
                </c:pt>
                <c:pt idx="129">
                  <c:v>109.40838538511342</c:v>
                </c:pt>
                <c:pt idx="130">
                  <c:v>110.23773214397615</c:v>
                </c:pt>
                <c:pt idx="131">
                  <c:v>110.51849840188838</c:v>
                </c:pt>
                <c:pt idx="132">
                  <c:v>111.05078443251364</c:v>
                </c:pt>
                <c:pt idx="133">
                  <c:v>111.01151058096043</c:v>
                </c:pt>
                <c:pt idx="134">
                  <c:v>109.7858739476487</c:v>
                </c:pt>
                <c:pt idx="135">
                  <c:v>109.04447554784925</c:v>
                </c:pt>
                <c:pt idx="136">
                  <c:v>110.37874198332939</c:v>
                </c:pt>
                <c:pt idx="137">
                  <c:v>110.66828218680138</c:v>
                </c:pt>
                <c:pt idx="138">
                  <c:v>110.41028640665139</c:v>
                </c:pt>
                <c:pt idx="139">
                  <c:v>109.83893542793865</c:v>
                </c:pt>
                <c:pt idx="140">
                  <c:v>109.55670684576646</c:v>
                </c:pt>
                <c:pt idx="141">
                  <c:v>109.99415070296004</c:v>
                </c:pt>
                <c:pt idx="142">
                  <c:v>109.85564770519532</c:v>
                </c:pt>
                <c:pt idx="143">
                  <c:v>110.61563851344282</c:v>
                </c:pt>
                <c:pt idx="144">
                  <c:v>112.43894796214657</c:v>
                </c:pt>
                <c:pt idx="145">
                  <c:v>113.5803964987778</c:v>
                </c:pt>
                <c:pt idx="146">
                  <c:v>113.83734776159925</c:v>
                </c:pt>
                <c:pt idx="147">
                  <c:v>113.38799640686025</c:v>
                </c:pt>
                <c:pt idx="148">
                  <c:v>113.6495435459273</c:v>
                </c:pt>
                <c:pt idx="149">
                  <c:v>113.96665900687279</c:v>
                </c:pt>
                <c:pt idx="150">
                  <c:v>113.90649480874875</c:v>
                </c:pt>
                <c:pt idx="151">
                  <c:v>114.57101673316747</c:v>
                </c:pt>
                <c:pt idx="152">
                  <c:v>115.81044099521598</c:v>
                </c:pt>
                <c:pt idx="153">
                  <c:v>116.11397773089043</c:v>
                </c:pt>
                <c:pt idx="154">
                  <c:v>116.55204829848115</c:v>
                </c:pt>
                <c:pt idx="155">
                  <c:v>116.21195345630773</c:v>
                </c:pt>
                <c:pt idx="156">
                  <c:v>115.58482525225082</c:v>
                </c:pt>
                <c:pt idx="157">
                  <c:v>116.05799160208058</c:v>
                </c:pt>
                <c:pt idx="158">
                  <c:v>116.90029037581722</c:v>
                </c:pt>
                <c:pt idx="159">
                  <c:v>116.86937266289236</c:v>
                </c:pt>
                <c:pt idx="160">
                  <c:v>116.87960893271207</c:v>
                </c:pt>
                <c:pt idx="161">
                  <c:v>117.2464434184962</c:v>
                </c:pt>
                <c:pt idx="162">
                  <c:v>118.84476383463192</c:v>
                </c:pt>
                <c:pt idx="163">
                  <c:v>120.22895819841641</c:v>
                </c:pt>
                <c:pt idx="164">
                  <c:v>119.7814869748688</c:v>
                </c:pt>
                <c:pt idx="165">
                  <c:v>120.85587749900759</c:v>
                </c:pt>
                <c:pt idx="166">
                  <c:v>121.43558461634866</c:v>
                </c:pt>
                <c:pt idx="167">
                  <c:v>121.78424450061614</c:v>
                </c:pt>
                <c:pt idx="168">
                  <c:v>121.74789529758286</c:v>
                </c:pt>
                <c:pt idx="169">
                  <c:v>121.68689548559598</c:v>
                </c:pt>
                <c:pt idx="170">
                  <c:v>121.80137458480422</c:v>
                </c:pt>
                <c:pt idx="171">
                  <c:v>121.53544047295732</c:v>
                </c:pt>
                <c:pt idx="172">
                  <c:v>121.68021057469331</c:v>
                </c:pt>
                <c:pt idx="173">
                  <c:v>122.67479997493145</c:v>
                </c:pt>
                <c:pt idx="174">
                  <c:v>123.54801646159295</c:v>
                </c:pt>
                <c:pt idx="175">
                  <c:v>123.28626041906021</c:v>
                </c:pt>
                <c:pt idx="176">
                  <c:v>122.18951722409061</c:v>
                </c:pt>
                <c:pt idx="177">
                  <c:v>123.26411665169512</c:v>
                </c:pt>
                <c:pt idx="178">
                  <c:v>123.10117194844248</c:v>
                </c:pt>
                <c:pt idx="179">
                  <c:v>125.10267605339557</c:v>
                </c:pt>
                <c:pt idx="180">
                  <c:v>125.44339760596613</c:v>
                </c:pt>
                <c:pt idx="181">
                  <c:v>125.50481522488442</c:v>
                </c:pt>
                <c:pt idx="182">
                  <c:v>124.64768430508245</c:v>
                </c:pt>
                <c:pt idx="183">
                  <c:v>124.11644279178576</c:v>
                </c:pt>
                <c:pt idx="184">
                  <c:v>123.51709874866808</c:v>
                </c:pt>
                <c:pt idx="185">
                  <c:v>122.76337504439182</c:v>
                </c:pt>
                <c:pt idx="186">
                  <c:v>123.87829284087809</c:v>
                </c:pt>
                <c:pt idx="187">
                  <c:v>124.80916668407514</c:v>
                </c:pt>
                <c:pt idx="188">
                  <c:v>123.64933464246155</c:v>
                </c:pt>
                <c:pt idx="189">
                  <c:v>124.66899245858473</c:v>
                </c:pt>
                <c:pt idx="190">
                  <c:v>125.46554137333121</c:v>
                </c:pt>
                <c:pt idx="191">
                  <c:v>125.62577033152962</c:v>
                </c:pt>
                <c:pt idx="192">
                  <c:v>125.93599197810673</c:v>
                </c:pt>
                <c:pt idx="193">
                  <c:v>126.88190687083478</c:v>
                </c:pt>
                <c:pt idx="194">
                  <c:v>128.07035868725043</c:v>
                </c:pt>
                <c:pt idx="195">
                  <c:v>129.03047901564668</c:v>
                </c:pt>
                <c:pt idx="196">
                  <c:v>128.92707180012098</c:v>
                </c:pt>
                <c:pt idx="197">
                  <c:v>127.97426309302455</c:v>
                </c:pt>
                <c:pt idx="198">
                  <c:v>127.27130293091545</c:v>
                </c:pt>
                <c:pt idx="199">
                  <c:v>127.05843029935849</c:v>
                </c:pt>
                <c:pt idx="200">
                  <c:v>127.36238484196436</c:v>
                </c:pt>
                <c:pt idx="201">
                  <c:v>128.16290292255934</c:v>
                </c:pt>
                <c:pt idx="202">
                  <c:v>127.73047274854275</c:v>
                </c:pt>
                <c:pt idx="203">
                  <c:v>125.31011719484411</c:v>
                </c:pt>
                <c:pt idx="204">
                  <c:v>123.89416950427193</c:v>
                </c:pt>
                <c:pt idx="205">
                  <c:v>125.6313271637175</c:v>
                </c:pt>
                <c:pt idx="206">
                  <c:v>125.4027867722324</c:v>
                </c:pt>
                <c:pt idx="207">
                  <c:v>124.86561240050959</c:v>
                </c:pt>
                <c:pt idx="208">
                  <c:v>125.48333994860963</c:v>
                </c:pt>
                <c:pt idx="209">
                  <c:v>126.48187762434965</c:v>
                </c:pt>
                <c:pt idx="210">
                  <c:v>126.247571497211</c:v>
                </c:pt>
                <c:pt idx="211">
                  <c:v>126.07913263281024</c:v>
                </c:pt>
                <c:pt idx="212">
                  <c:v>125.17430905178705</c:v>
                </c:pt>
                <c:pt idx="213">
                  <c:v>126.7765986337712</c:v>
                </c:pt>
                <c:pt idx="214">
                  <c:v>126.84348952349104</c:v>
                </c:pt>
                <c:pt idx="215">
                  <c:v>126.015521527502</c:v>
                </c:pt>
                <c:pt idx="216">
                  <c:v>125.35948108379104</c:v>
                </c:pt>
                <c:pt idx="217">
                  <c:v>124.58169170026517</c:v>
                </c:pt>
                <c:pt idx="218">
                  <c:v>122.13727046731691</c:v>
                </c:pt>
                <c:pt idx="219">
                  <c:v>122.55181850466886</c:v>
                </c:pt>
                <c:pt idx="220">
                  <c:v>121.87635003864699</c:v>
                </c:pt>
                <c:pt idx="221">
                  <c:v>122.82498067642926</c:v>
                </c:pt>
                <c:pt idx="222">
                  <c:v>119.29881551734928</c:v>
                </c:pt>
                <c:pt idx="223">
                  <c:v>119.61933610478582</c:v>
                </c:pt>
                <c:pt idx="224">
                  <c:v>119.21049113204772</c:v>
                </c:pt>
                <c:pt idx="225">
                  <c:v>120.50552549666783</c:v>
                </c:pt>
                <c:pt idx="226">
                  <c:v>122.12766090789431</c:v>
                </c:pt>
                <c:pt idx="227">
                  <c:v>120.52990453111602</c:v>
                </c:pt>
                <c:pt idx="228">
                  <c:v>118.54674215045213</c:v>
                </c:pt>
                <c:pt idx="229">
                  <c:v>120.39869226430451</c:v>
                </c:pt>
                <c:pt idx="230">
                  <c:v>122.52121414694254</c:v>
                </c:pt>
                <c:pt idx="231">
                  <c:v>122.85013265370056</c:v>
                </c:pt>
                <c:pt idx="232">
                  <c:v>122.8073910046166</c:v>
                </c:pt>
                <c:pt idx="233">
                  <c:v>121.75608431343861</c:v>
                </c:pt>
                <c:pt idx="234">
                  <c:v>121.40861517892566</c:v>
                </c:pt>
                <c:pt idx="235">
                  <c:v>120.72119743466529</c:v>
                </c:pt>
                <c:pt idx="236">
                  <c:v>120.95748814472816</c:v>
                </c:pt>
                <c:pt idx="237">
                  <c:v>119.0995007207168</c:v>
                </c:pt>
                <c:pt idx="238">
                  <c:v>116.61411351814313</c:v>
                </c:pt>
                <c:pt idx="239">
                  <c:v>117.65236374271436</c:v>
                </c:pt>
                <c:pt idx="240">
                  <c:v>118.92991288725464</c:v>
                </c:pt>
                <c:pt idx="241">
                  <c:v>119.73360630052838</c:v>
                </c:pt>
                <c:pt idx="242">
                  <c:v>119.33466335206487</c:v>
                </c:pt>
                <c:pt idx="243">
                  <c:v>119.95287137813601</c:v>
                </c:pt>
                <c:pt idx="244">
                  <c:v>120.94984227788326</c:v>
                </c:pt>
                <c:pt idx="245">
                  <c:v>120.75976101443509</c:v>
                </c:pt>
                <c:pt idx="246">
                  <c:v>120.73433746265836</c:v>
                </c:pt>
                <c:pt idx="247">
                  <c:v>121.69424888758888</c:v>
                </c:pt>
              </c:numCache>
            </c:numRef>
          </c:val>
          <c:smooth val="0"/>
          <c:extLst>
            <c:ext xmlns:c16="http://schemas.microsoft.com/office/drawing/2014/chart" uri="{C3380CC4-5D6E-409C-BE32-E72D297353CC}">
              <c16:uniqueId val="{00000001-81B4-44B6-B30E-4B6725A877F0}"/>
            </c:ext>
          </c:extLst>
        </c:ser>
        <c:dLbls>
          <c:showLegendKey val="0"/>
          <c:showVal val="0"/>
          <c:showCatName val="0"/>
          <c:showSerName val="0"/>
          <c:showPercent val="0"/>
          <c:showBubbleSize val="0"/>
        </c:dLbls>
        <c:smooth val="0"/>
        <c:axId val="437196112"/>
        <c:axId val="437196896"/>
      </c:lineChart>
      <c:dateAx>
        <c:axId val="437196112"/>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37196896"/>
        <c:crosses val="autoZero"/>
        <c:auto val="1"/>
        <c:lblOffset val="100"/>
        <c:baseTimeUnit val="days"/>
      </c:dateAx>
      <c:valAx>
        <c:axId val="437196896"/>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3719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2838148264396"/>
          <c:y val="5.3527980535279802E-2"/>
          <c:w val="0.87345278547287308"/>
          <c:h val="0.67124432438645898"/>
        </c:manualLayout>
      </c:layout>
      <c:barChart>
        <c:barDir val="col"/>
        <c:grouping val="clustered"/>
        <c:varyColors val="0"/>
        <c:ser>
          <c:idx val="0"/>
          <c:order val="0"/>
          <c:tx>
            <c:strRef>
              <c:f>FPI!$L$3</c:f>
              <c:strCache>
                <c:ptCount val="1"/>
                <c:pt idx="0">
                  <c:v>Equity</c:v>
                </c:pt>
              </c:strCache>
            </c:strRef>
          </c:tx>
          <c:spPr>
            <a:solidFill>
              <a:schemeClr val="accent1"/>
            </a:solidFill>
            <a:ln>
              <a:noFill/>
            </a:ln>
            <a:effectLst/>
          </c:spPr>
          <c:invertIfNegative val="0"/>
          <c:cat>
            <c:numRef>
              <c:f>FPI!$K$9:$K$20</c:f>
              <c:numCache>
                <c:formatCode>[$-409]mmm\-yy</c:formatCode>
                <c:ptCount val="12"/>
                <c:pt idx="0">
                  <c:v>44206</c:v>
                </c:pt>
                <c:pt idx="1">
                  <c:v>44237</c:v>
                </c:pt>
                <c:pt idx="2">
                  <c:v>44265</c:v>
                </c:pt>
                <c:pt idx="3">
                  <c:v>44296</c:v>
                </c:pt>
                <c:pt idx="4">
                  <c:v>44326</c:v>
                </c:pt>
                <c:pt idx="5">
                  <c:v>44357</c:v>
                </c:pt>
                <c:pt idx="6">
                  <c:v>44387</c:v>
                </c:pt>
                <c:pt idx="7">
                  <c:v>44418</c:v>
                </c:pt>
                <c:pt idx="8">
                  <c:v>44449</c:v>
                </c:pt>
                <c:pt idx="9">
                  <c:v>44479</c:v>
                </c:pt>
                <c:pt idx="10">
                  <c:v>44510</c:v>
                </c:pt>
                <c:pt idx="11">
                  <c:v>44540</c:v>
                </c:pt>
              </c:numCache>
            </c:numRef>
          </c:cat>
          <c:val>
            <c:numRef>
              <c:f>FPI!$L$9:$L$20</c:f>
              <c:numCache>
                <c:formatCode>#,##0;\-#,##0;0</c:formatCode>
                <c:ptCount val="12"/>
                <c:pt idx="0">
                  <c:v>-13031.78</c:v>
                </c:pt>
                <c:pt idx="1">
                  <c:v>-16306</c:v>
                </c:pt>
                <c:pt idx="2">
                  <c:v>4772.83</c:v>
                </c:pt>
                <c:pt idx="3">
                  <c:v>5526.36</c:v>
                </c:pt>
                <c:pt idx="4" formatCode="[&gt;9999999]##\,##\,##\,##0;[&gt;99999]##\,##\,##0;##,##0">
                  <c:v>475.75</c:v>
                </c:pt>
                <c:pt idx="5" formatCode="[&gt;9999999]##\,##\,##\,##0;[&gt;99999]##\,##\,##0;##,##0">
                  <c:v>6437.08</c:v>
                </c:pt>
                <c:pt idx="6" formatCode="[&gt;9999999]##\,##\,##\,##0;[&gt;99999]##\,##\,##0;##,##0">
                  <c:v>21502.37</c:v>
                </c:pt>
                <c:pt idx="7" formatCode="[&gt;9999999]##\,##\,##\,##0;[&gt;99999]##\,##\,##0;##,##0">
                  <c:v>11546</c:v>
                </c:pt>
                <c:pt idx="8" formatCode="[&gt;9999999]##\,##\,##\,##0;[&gt;99999]##\,##\,##0;##,##0">
                  <c:v>7701</c:v>
                </c:pt>
                <c:pt idx="9" formatCode="[&gt;9999999]##\,##\,##\,##0;[&gt;99999]##\,##\,##0;##,##0">
                  <c:v>5865.5</c:v>
                </c:pt>
                <c:pt idx="10" formatCode="[&gt;9999999]##\,##\,##\,##0;[&gt;99999]##\,##\,##0;##,##0">
                  <c:v>28950.75</c:v>
                </c:pt>
                <c:pt idx="11" formatCode="[&gt;9999999]##\,##\,##\,##0;[&gt;99999]##\,##\,##0;##,##0">
                  <c:v>24206.6</c:v>
                </c:pt>
              </c:numCache>
            </c:numRef>
          </c:val>
          <c:extLst>
            <c:ext xmlns:c16="http://schemas.microsoft.com/office/drawing/2014/chart" uri="{C3380CC4-5D6E-409C-BE32-E72D297353CC}">
              <c16:uniqueId val="{00000000-3A19-47F4-88F8-0AF5C8575C87}"/>
            </c:ext>
          </c:extLst>
        </c:ser>
        <c:ser>
          <c:idx val="1"/>
          <c:order val="1"/>
          <c:tx>
            <c:strRef>
              <c:f>FPI!$M$3</c:f>
              <c:strCache>
                <c:ptCount val="1"/>
                <c:pt idx="0">
                  <c:v>Debt</c:v>
                </c:pt>
              </c:strCache>
            </c:strRef>
          </c:tx>
          <c:spPr>
            <a:solidFill>
              <a:schemeClr val="accent2"/>
            </a:solidFill>
            <a:ln>
              <a:noFill/>
            </a:ln>
            <a:effectLst/>
          </c:spPr>
          <c:invertIfNegative val="0"/>
          <c:cat>
            <c:numRef>
              <c:f>FPI!$K$9:$K$20</c:f>
              <c:numCache>
                <c:formatCode>[$-409]mmm\-yy</c:formatCode>
                <c:ptCount val="12"/>
                <c:pt idx="0">
                  <c:v>44206</c:v>
                </c:pt>
                <c:pt idx="1">
                  <c:v>44237</c:v>
                </c:pt>
                <c:pt idx="2">
                  <c:v>44265</c:v>
                </c:pt>
                <c:pt idx="3">
                  <c:v>44296</c:v>
                </c:pt>
                <c:pt idx="4">
                  <c:v>44326</c:v>
                </c:pt>
                <c:pt idx="5">
                  <c:v>44357</c:v>
                </c:pt>
                <c:pt idx="6">
                  <c:v>44387</c:v>
                </c:pt>
                <c:pt idx="7">
                  <c:v>44418</c:v>
                </c:pt>
                <c:pt idx="8">
                  <c:v>44449</c:v>
                </c:pt>
                <c:pt idx="9">
                  <c:v>44479</c:v>
                </c:pt>
                <c:pt idx="10">
                  <c:v>44510</c:v>
                </c:pt>
                <c:pt idx="11">
                  <c:v>44540</c:v>
                </c:pt>
              </c:numCache>
            </c:numRef>
          </c:cat>
          <c:val>
            <c:numRef>
              <c:f>FPI!$M$9:$M$20</c:f>
              <c:numCache>
                <c:formatCode>#,##0;\-#,##0;0</c:formatCode>
                <c:ptCount val="12"/>
                <c:pt idx="0">
                  <c:v>11831.74</c:v>
                </c:pt>
                <c:pt idx="1">
                  <c:v>8161.78</c:v>
                </c:pt>
                <c:pt idx="2">
                  <c:v>15661.48</c:v>
                </c:pt>
                <c:pt idx="3">
                  <c:v>21588.400000000001</c:v>
                </c:pt>
                <c:pt idx="4" formatCode="[&gt;9999999]##\,##\,##\,##0;[&gt;99999]##\,##\,##0;##,##0">
                  <c:v>4238.12</c:v>
                </c:pt>
                <c:pt idx="5" formatCode="[&gt;9999999]##\,##\,##\,##0;[&gt;99999]##\,##\,##0;##,##0">
                  <c:v>6449.01</c:v>
                </c:pt>
                <c:pt idx="6" formatCode="[&gt;9999999]##\,##\,##\,##0;[&gt;99999]##\,##\,##0;##,##0">
                  <c:v>15620.86</c:v>
                </c:pt>
                <c:pt idx="7" formatCode="[&gt;9999999]##\,##\,##\,##0;[&gt;99999]##\,##\,##0;##,##0">
                  <c:v>21094</c:v>
                </c:pt>
                <c:pt idx="8" formatCode="[&gt;9999999]##\,##\,##\,##0;[&gt;99999]##\,##\,##0;##,##0">
                  <c:v>7695</c:v>
                </c:pt>
                <c:pt idx="9" formatCode="[&gt;9999999]##\,##\,##\,##0;[&gt;99999]##\,##\,##0;##,##0">
                  <c:v>1864.87</c:v>
                </c:pt>
                <c:pt idx="10" formatCode="[&gt;9999999]##\,##\,##\,##0;[&gt;99999]##\,##\,##0;##,##0">
                  <c:v>14041.26</c:v>
                </c:pt>
                <c:pt idx="11" formatCode="[&gt;9999999]##\,##\,##\,##0;[&gt;99999]##\,##\,##0;##,##0">
                  <c:v>1962.7</c:v>
                </c:pt>
              </c:numCache>
            </c:numRef>
          </c:val>
          <c:extLst>
            <c:ext xmlns:c16="http://schemas.microsoft.com/office/drawing/2014/chart" uri="{C3380CC4-5D6E-409C-BE32-E72D297353CC}">
              <c16:uniqueId val="{00000001-3A19-47F4-88F8-0AF5C8575C87}"/>
            </c:ext>
          </c:extLst>
        </c:ser>
        <c:dLbls>
          <c:showLegendKey val="0"/>
          <c:showVal val="0"/>
          <c:showCatName val="0"/>
          <c:showSerName val="0"/>
          <c:showPercent val="0"/>
          <c:showBubbleSize val="0"/>
        </c:dLbls>
        <c:gapWidth val="219"/>
        <c:overlap val="-27"/>
        <c:axId val="589922360"/>
        <c:axId val="589923928"/>
      </c:barChart>
      <c:lineChart>
        <c:grouping val="standard"/>
        <c:varyColors val="0"/>
        <c:ser>
          <c:idx val="2"/>
          <c:order val="2"/>
          <c:tx>
            <c:strRef>
              <c:f>FPI!$N$3</c:f>
              <c:strCache>
                <c:ptCount val="1"/>
                <c:pt idx="0">
                  <c:v>Total</c:v>
                </c:pt>
              </c:strCache>
            </c:strRef>
          </c:tx>
          <c:spPr>
            <a:ln w="28575" cap="rnd">
              <a:solidFill>
                <a:schemeClr val="accent3"/>
              </a:solidFill>
              <a:round/>
            </a:ln>
            <a:effectLst/>
          </c:spPr>
          <c:marker>
            <c:symbol val="none"/>
          </c:marker>
          <c:cat>
            <c:numRef>
              <c:f>FPI!$K$9:$K$20</c:f>
              <c:numCache>
                <c:formatCode>[$-409]mmm\-yy</c:formatCode>
                <c:ptCount val="12"/>
                <c:pt idx="0">
                  <c:v>44206</c:v>
                </c:pt>
                <c:pt idx="1">
                  <c:v>44237</c:v>
                </c:pt>
                <c:pt idx="2">
                  <c:v>44265</c:v>
                </c:pt>
                <c:pt idx="3">
                  <c:v>44296</c:v>
                </c:pt>
                <c:pt idx="4">
                  <c:v>44326</c:v>
                </c:pt>
                <c:pt idx="5">
                  <c:v>44357</c:v>
                </c:pt>
                <c:pt idx="6">
                  <c:v>44387</c:v>
                </c:pt>
                <c:pt idx="7">
                  <c:v>44418</c:v>
                </c:pt>
                <c:pt idx="8">
                  <c:v>44449</c:v>
                </c:pt>
                <c:pt idx="9">
                  <c:v>44479</c:v>
                </c:pt>
                <c:pt idx="10">
                  <c:v>44510</c:v>
                </c:pt>
                <c:pt idx="11">
                  <c:v>44540</c:v>
                </c:pt>
              </c:numCache>
            </c:numRef>
          </c:cat>
          <c:val>
            <c:numRef>
              <c:f>FPI!$N$9:$N$20</c:f>
              <c:numCache>
                <c:formatCode>[&gt;9999999]##\,##\,##\,##0;[&gt;99999]##\,##\,##0;##,##0</c:formatCode>
                <c:ptCount val="12"/>
                <c:pt idx="0">
                  <c:v>-1200.0400000000009</c:v>
                </c:pt>
                <c:pt idx="1">
                  <c:v>-8144.22</c:v>
                </c:pt>
                <c:pt idx="2">
                  <c:v>20434.309999999998</c:v>
                </c:pt>
                <c:pt idx="3">
                  <c:v>27114.760000000002</c:v>
                </c:pt>
                <c:pt idx="4">
                  <c:v>4713.87</c:v>
                </c:pt>
                <c:pt idx="5">
                  <c:v>12886.09</c:v>
                </c:pt>
                <c:pt idx="6">
                  <c:v>37123.229999999996</c:v>
                </c:pt>
                <c:pt idx="7">
                  <c:v>32640</c:v>
                </c:pt>
                <c:pt idx="8">
                  <c:v>15396</c:v>
                </c:pt>
                <c:pt idx="9">
                  <c:v>7730.37</c:v>
                </c:pt>
                <c:pt idx="10">
                  <c:v>42992.01</c:v>
                </c:pt>
                <c:pt idx="11">
                  <c:v>26169.3</c:v>
                </c:pt>
              </c:numCache>
            </c:numRef>
          </c:val>
          <c:smooth val="0"/>
          <c:extLst>
            <c:ext xmlns:c16="http://schemas.microsoft.com/office/drawing/2014/chart" uri="{C3380CC4-5D6E-409C-BE32-E72D297353CC}">
              <c16:uniqueId val="{00000002-3A19-47F4-88F8-0AF5C8575C87}"/>
            </c:ext>
          </c:extLst>
        </c:ser>
        <c:dLbls>
          <c:showLegendKey val="0"/>
          <c:showVal val="0"/>
          <c:showCatName val="0"/>
          <c:showSerName val="0"/>
          <c:showPercent val="0"/>
          <c:showBubbleSize val="0"/>
        </c:dLbls>
        <c:marker val="1"/>
        <c:smooth val="0"/>
        <c:axId val="589922360"/>
        <c:axId val="589923928"/>
      </c:lineChart>
      <c:dateAx>
        <c:axId val="589922360"/>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89923928"/>
        <c:crosses val="autoZero"/>
        <c:auto val="1"/>
        <c:lblOffset val="100"/>
        <c:baseTimeUnit val="months"/>
      </c:dateAx>
      <c:valAx>
        <c:axId val="5899239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89922360"/>
        <c:crosses val="autoZero"/>
        <c:crossBetween val="between"/>
      </c:val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28515563071397E-2"/>
          <c:y val="4.1359509115414625E-2"/>
          <c:w val="0.87891243460339274"/>
          <c:h val="0.70482620415691277"/>
        </c:manualLayout>
      </c:layout>
      <c:areaChart>
        <c:grouping val="standard"/>
        <c:varyColors val="0"/>
        <c:ser>
          <c:idx val="4"/>
          <c:order val="4"/>
          <c:tx>
            <c:strRef>
              <c:f>FPI!$G$4</c:f>
              <c:strCache>
                <c:ptCount val="1"/>
                <c:pt idx="0">
                  <c:v>Total</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cat>
            <c:numRef>
              <c:f>FPI!$B$10:$B$21</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FPI!$G$10:$G$21</c:f>
              <c:numCache>
                <c:formatCode>#,##0</c:formatCode>
                <c:ptCount val="12"/>
                <c:pt idx="0">
                  <c:v>14631</c:v>
                </c:pt>
                <c:pt idx="1">
                  <c:v>24013</c:v>
                </c:pt>
                <c:pt idx="2">
                  <c:v>17023</c:v>
                </c:pt>
                <c:pt idx="3">
                  <c:v>-8836</c:v>
                </c:pt>
                <c:pt idx="4">
                  <c:v>-1958</c:v>
                </c:pt>
                <c:pt idx="5">
                  <c:v>12974</c:v>
                </c:pt>
                <c:pt idx="6">
                  <c:v>-7409.99</c:v>
                </c:pt>
                <c:pt idx="7">
                  <c:v>16556</c:v>
                </c:pt>
                <c:pt idx="8">
                  <c:v>27756</c:v>
                </c:pt>
                <c:pt idx="9">
                  <c:v>-12437</c:v>
                </c:pt>
                <c:pt idx="10">
                  <c:v>-2520.7600000000007</c:v>
                </c:pt>
                <c:pt idx="11">
                  <c:v>-29702</c:v>
                </c:pt>
              </c:numCache>
            </c:numRef>
          </c:val>
          <c:extLst>
            <c:ext xmlns:c16="http://schemas.microsoft.com/office/drawing/2014/chart" uri="{C3380CC4-5D6E-409C-BE32-E72D297353CC}">
              <c16:uniqueId val="{00000000-40F9-4896-A294-CFE626946AB5}"/>
            </c:ext>
          </c:extLst>
        </c:ser>
        <c:dLbls>
          <c:showLegendKey val="0"/>
          <c:showVal val="0"/>
          <c:showCatName val="0"/>
          <c:showSerName val="0"/>
          <c:showPercent val="0"/>
          <c:showBubbleSize val="0"/>
        </c:dLbls>
        <c:axId val="589924712"/>
        <c:axId val="589925104"/>
      </c:areaChart>
      <c:barChart>
        <c:barDir val="col"/>
        <c:grouping val="clustered"/>
        <c:varyColors val="0"/>
        <c:ser>
          <c:idx val="0"/>
          <c:order val="0"/>
          <c:tx>
            <c:strRef>
              <c:f>FPI!$C$4</c:f>
              <c:strCache>
                <c:ptCount val="1"/>
                <c:pt idx="0">
                  <c:v>Equity </c:v>
                </c:pt>
              </c:strCache>
            </c:strRef>
          </c:tx>
          <c:spPr>
            <a:gradFill flip="none" rotWithShape="1">
              <a:gsLst>
                <a:gs pos="0">
                  <a:srgbClr val="70AD47">
                    <a:tint val="66000"/>
                    <a:satMod val="160000"/>
                  </a:srgbClr>
                </a:gs>
                <a:gs pos="50000">
                  <a:srgbClr val="70AD47">
                    <a:tint val="44500"/>
                    <a:satMod val="160000"/>
                  </a:srgbClr>
                </a:gs>
                <a:gs pos="100000">
                  <a:srgbClr val="70AD47">
                    <a:tint val="23500"/>
                    <a:satMod val="160000"/>
                  </a:srgbClr>
                </a:gs>
              </a:gsLst>
              <a:path path="circle">
                <a:fillToRect r="100000" b="100000"/>
              </a:path>
              <a:tileRect l="-100000" t="-100000"/>
            </a:gradFill>
            <a:ln w="9525" cap="flat" cmpd="sng" algn="ctr">
              <a:solidFill>
                <a:srgbClr val="70AD47"/>
              </a:solidFill>
              <a:round/>
            </a:ln>
            <a:effectLst/>
          </c:spPr>
          <c:invertIfNegative val="0"/>
          <c:cat>
            <c:numRef>
              <c:f>FPI!$B$10:$B$21</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FPI!$C$10:$C$21</c:f>
              <c:numCache>
                <c:formatCode>#,##0</c:formatCode>
                <c:ptCount val="12"/>
                <c:pt idx="0">
                  <c:v>19473</c:v>
                </c:pt>
                <c:pt idx="1">
                  <c:v>25787</c:v>
                </c:pt>
                <c:pt idx="2">
                  <c:v>10482</c:v>
                </c:pt>
                <c:pt idx="3">
                  <c:v>-9659</c:v>
                </c:pt>
                <c:pt idx="4">
                  <c:v>-2954</c:v>
                </c:pt>
                <c:pt idx="5">
                  <c:v>17215</c:v>
                </c:pt>
                <c:pt idx="6">
                  <c:v>-11308.36</c:v>
                </c:pt>
                <c:pt idx="7">
                  <c:v>2083</c:v>
                </c:pt>
                <c:pt idx="8">
                  <c:v>13154</c:v>
                </c:pt>
                <c:pt idx="9">
                  <c:v>-13550</c:v>
                </c:pt>
                <c:pt idx="10">
                  <c:v>-5945.1</c:v>
                </c:pt>
                <c:pt idx="11">
                  <c:v>-19026</c:v>
                </c:pt>
              </c:numCache>
            </c:numRef>
          </c:val>
          <c:extLst>
            <c:ext xmlns:c16="http://schemas.microsoft.com/office/drawing/2014/chart" uri="{C3380CC4-5D6E-409C-BE32-E72D297353CC}">
              <c16:uniqueId val="{00000001-40F9-4896-A294-CFE626946AB5}"/>
            </c:ext>
          </c:extLst>
        </c:ser>
        <c:ser>
          <c:idx val="1"/>
          <c:order val="1"/>
          <c:tx>
            <c:strRef>
              <c:f>FPI!$D$4</c:f>
              <c:strCache>
                <c:ptCount val="1"/>
                <c:pt idx="0">
                  <c:v>Debt </c:v>
                </c:pt>
              </c:strCache>
            </c:strRef>
          </c:tx>
          <c:spPr>
            <a:gradFill flip="none" rotWithShape="1">
              <a:gsLst>
                <a:gs pos="0">
                  <a:srgbClr val="ED7D31">
                    <a:shade val="30000"/>
                    <a:satMod val="115000"/>
                  </a:srgbClr>
                </a:gs>
                <a:gs pos="50000">
                  <a:srgbClr val="ED7D31">
                    <a:shade val="67500"/>
                    <a:satMod val="115000"/>
                  </a:srgbClr>
                </a:gs>
                <a:gs pos="100000">
                  <a:srgbClr val="ED7D31">
                    <a:shade val="100000"/>
                    <a:satMod val="115000"/>
                  </a:srgbClr>
                </a:gs>
              </a:gsLst>
              <a:lin ang="16200000" scaled="1"/>
              <a:tileRect/>
            </a:gradFill>
            <a:ln w="9525" cap="flat" cmpd="sng" algn="ctr">
              <a:solidFill>
                <a:srgbClr val="ED7D31"/>
              </a:solidFill>
              <a:round/>
            </a:ln>
            <a:effectLst/>
          </c:spPr>
          <c:invertIfNegative val="0"/>
          <c:cat>
            <c:numRef>
              <c:f>FPI!$B$10:$B$21</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FPI!$D$10:$D$21</c:f>
              <c:numCache>
                <c:formatCode>#,##0</c:formatCode>
                <c:ptCount val="12"/>
                <c:pt idx="0">
                  <c:v>-2518</c:v>
                </c:pt>
                <c:pt idx="1">
                  <c:v>-6488</c:v>
                </c:pt>
                <c:pt idx="2">
                  <c:v>-6492</c:v>
                </c:pt>
                <c:pt idx="3">
                  <c:v>-118</c:v>
                </c:pt>
                <c:pt idx="4">
                  <c:v>-1706</c:v>
                </c:pt>
                <c:pt idx="5">
                  <c:v>-4829</c:v>
                </c:pt>
                <c:pt idx="6">
                  <c:v>-781.55</c:v>
                </c:pt>
                <c:pt idx="7">
                  <c:v>12144</c:v>
                </c:pt>
                <c:pt idx="8">
                  <c:v>12804</c:v>
                </c:pt>
                <c:pt idx="9">
                  <c:v>-1558</c:v>
                </c:pt>
                <c:pt idx="10">
                  <c:v>982.57</c:v>
                </c:pt>
                <c:pt idx="11">
                  <c:v>-11799</c:v>
                </c:pt>
              </c:numCache>
            </c:numRef>
          </c:val>
          <c:extLst>
            <c:ext xmlns:c16="http://schemas.microsoft.com/office/drawing/2014/chart" uri="{C3380CC4-5D6E-409C-BE32-E72D297353CC}">
              <c16:uniqueId val="{00000002-40F9-4896-A294-CFE626946AB5}"/>
            </c:ext>
          </c:extLst>
        </c:ser>
        <c:dLbls>
          <c:showLegendKey val="0"/>
          <c:showVal val="0"/>
          <c:showCatName val="0"/>
          <c:showSerName val="0"/>
          <c:showPercent val="0"/>
          <c:showBubbleSize val="0"/>
        </c:dLbls>
        <c:gapWidth val="219"/>
        <c:axId val="589924712"/>
        <c:axId val="589925104"/>
      </c:barChart>
      <c:lineChart>
        <c:grouping val="standard"/>
        <c:varyColors val="0"/>
        <c:ser>
          <c:idx val="2"/>
          <c:order val="2"/>
          <c:tx>
            <c:strRef>
              <c:f>FPI!$E$4</c:f>
              <c:strCache>
                <c:ptCount val="1"/>
                <c:pt idx="0">
                  <c:v>Debt-VRR </c:v>
                </c:pt>
              </c:strCache>
            </c:strRef>
          </c:tx>
          <c:spPr>
            <a:ln w="15875" cap="rnd">
              <a:solidFill>
                <a:srgbClr val="C00000"/>
              </a:solidFill>
              <a:round/>
            </a:ln>
            <a:effectLst/>
          </c:spPr>
          <c:marker>
            <c:symbol val="circle"/>
            <c:size val="5"/>
            <c:spPr>
              <a:solidFill>
                <a:srgbClr val="C00000"/>
              </a:solidFill>
              <a:ln w="9525" cap="flat" cmpd="sng" algn="ctr">
                <a:solidFill>
                  <a:srgbClr val="C00000"/>
                </a:solidFill>
                <a:round/>
              </a:ln>
              <a:effectLst/>
            </c:spPr>
          </c:marker>
          <c:cat>
            <c:numRef>
              <c:f>FPI!$B$10:$B$21</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FPI!$E$10:$E$21</c:f>
              <c:numCache>
                <c:formatCode>#,##0</c:formatCode>
                <c:ptCount val="12"/>
                <c:pt idx="0">
                  <c:v>-2306</c:v>
                </c:pt>
                <c:pt idx="1">
                  <c:v>4364</c:v>
                </c:pt>
                <c:pt idx="2">
                  <c:v>13314</c:v>
                </c:pt>
                <c:pt idx="3">
                  <c:v>342</c:v>
                </c:pt>
                <c:pt idx="4">
                  <c:v>1994</c:v>
                </c:pt>
                <c:pt idx="5">
                  <c:v>883</c:v>
                </c:pt>
                <c:pt idx="6">
                  <c:v>4817.5</c:v>
                </c:pt>
                <c:pt idx="7">
                  <c:v>2232</c:v>
                </c:pt>
                <c:pt idx="8">
                  <c:v>559</c:v>
                </c:pt>
                <c:pt idx="9">
                  <c:v>2830</c:v>
                </c:pt>
                <c:pt idx="10">
                  <c:v>2465.92</c:v>
                </c:pt>
                <c:pt idx="11">
                  <c:v>1391</c:v>
                </c:pt>
              </c:numCache>
            </c:numRef>
          </c:val>
          <c:smooth val="0"/>
          <c:extLst>
            <c:ext xmlns:c16="http://schemas.microsoft.com/office/drawing/2014/chart" uri="{C3380CC4-5D6E-409C-BE32-E72D297353CC}">
              <c16:uniqueId val="{00000003-40F9-4896-A294-CFE626946AB5}"/>
            </c:ext>
          </c:extLst>
        </c:ser>
        <c:ser>
          <c:idx val="3"/>
          <c:order val="3"/>
          <c:tx>
            <c:strRef>
              <c:f>FPI!$F$4</c:f>
              <c:strCache>
                <c:ptCount val="1"/>
                <c:pt idx="0">
                  <c:v>Hybrid  </c:v>
                </c:pt>
              </c:strCache>
            </c:strRef>
          </c:tx>
          <c:spPr>
            <a:ln w="15875" cap="rnd">
              <a:solidFill>
                <a:sysClr val="windowText" lastClr="000000"/>
              </a:solidFill>
              <a:round/>
            </a:ln>
            <a:effectLst/>
          </c:spPr>
          <c:marker>
            <c:symbol val="circle"/>
            <c:size val="5"/>
            <c:spPr>
              <a:solidFill>
                <a:sysClr val="window" lastClr="FFFFFF"/>
              </a:solidFill>
              <a:ln w="9525" cap="flat" cmpd="sng" algn="ctr">
                <a:solidFill>
                  <a:sysClr val="windowText" lastClr="000000"/>
                </a:solidFill>
                <a:round/>
              </a:ln>
              <a:effectLst/>
            </c:spPr>
          </c:marker>
          <c:cat>
            <c:numRef>
              <c:f>FPI!$B$10:$B$21</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FPI!$F$10:$F$21</c:f>
              <c:numCache>
                <c:formatCode>#,##0</c:formatCode>
                <c:ptCount val="12"/>
                <c:pt idx="0">
                  <c:v>-17</c:v>
                </c:pt>
                <c:pt idx="1">
                  <c:v>350</c:v>
                </c:pt>
                <c:pt idx="2">
                  <c:v>-281</c:v>
                </c:pt>
                <c:pt idx="3">
                  <c:v>599</c:v>
                </c:pt>
                <c:pt idx="4">
                  <c:v>709</c:v>
                </c:pt>
                <c:pt idx="5">
                  <c:v>-295</c:v>
                </c:pt>
                <c:pt idx="6">
                  <c:v>-137.58000000000001</c:v>
                </c:pt>
                <c:pt idx="7">
                  <c:v>97</c:v>
                </c:pt>
                <c:pt idx="8">
                  <c:v>1239</c:v>
                </c:pt>
                <c:pt idx="9">
                  <c:v>-159</c:v>
                </c:pt>
                <c:pt idx="10">
                  <c:v>-24.15</c:v>
                </c:pt>
                <c:pt idx="11">
                  <c:v>269</c:v>
                </c:pt>
              </c:numCache>
            </c:numRef>
          </c:val>
          <c:smooth val="0"/>
          <c:extLst>
            <c:ext xmlns:c16="http://schemas.microsoft.com/office/drawing/2014/chart" uri="{C3380CC4-5D6E-409C-BE32-E72D297353CC}">
              <c16:uniqueId val="{00000004-40F9-4896-A294-CFE626946AB5}"/>
            </c:ext>
          </c:extLst>
        </c:ser>
        <c:dLbls>
          <c:showLegendKey val="0"/>
          <c:showVal val="0"/>
          <c:showCatName val="0"/>
          <c:showSerName val="0"/>
          <c:showPercent val="0"/>
          <c:showBubbleSize val="0"/>
        </c:dLbls>
        <c:marker val="1"/>
        <c:smooth val="0"/>
        <c:axId val="589924712"/>
        <c:axId val="589925104"/>
      </c:lineChart>
      <c:dateAx>
        <c:axId val="589924712"/>
        <c:scaling>
          <c:orientation val="minMax"/>
        </c:scaling>
        <c:delete val="0"/>
        <c:axPos val="b"/>
        <c:numFmt formatCode="[$-409]mmm\-yy" sourceLinked="1"/>
        <c:majorTickMark val="out"/>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89925104"/>
        <c:crosses val="autoZero"/>
        <c:auto val="1"/>
        <c:lblOffset val="100"/>
        <c:baseTimeUnit val="months"/>
      </c:dateAx>
      <c:valAx>
        <c:axId val="589925104"/>
        <c:scaling>
          <c:orientation val="minMax"/>
          <c:max val="30000"/>
          <c:min val="-3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89924712"/>
        <c:crosses val="autoZero"/>
        <c:crossBetween val="between"/>
        <c:majorUnit val="10000"/>
      </c:val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93026072992614E-2"/>
          <c:y val="5.2726284214473187E-2"/>
          <c:w val="0.80676280471762485"/>
          <c:h val="0.60479131285059939"/>
        </c:manualLayout>
      </c:layout>
      <c:barChart>
        <c:barDir val="col"/>
        <c:grouping val="clustered"/>
        <c:varyColors val="0"/>
        <c:ser>
          <c:idx val="1"/>
          <c:order val="1"/>
          <c:tx>
            <c:strRef>
              <c:f>SAST!$M$7:$M$8</c:f>
              <c:strCache>
                <c:ptCount val="2"/>
                <c:pt idx="0">
                  <c:v>Closed Value (RHS)</c:v>
                </c:pt>
              </c:strCache>
            </c:strRef>
          </c:tx>
          <c:spPr>
            <a:solidFill>
              <a:srgbClr val="C00000"/>
            </a:solidFill>
            <a:ln>
              <a:solidFill>
                <a:srgbClr val="C00000"/>
              </a:solidFill>
            </a:ln>
            <a:effectLst/>
          </c:spPr>
          <c:invertIfNegative val="0"/>
          <c:cat>
            <c:numRef>
              <c:f>SAST!$K$14:$K$25</c:f>
              <c:numCache>
                <c:formatCode>[$-409]mmm\-yy</c:formatCode>
                <c:ptCount val="12"/>
                <c:pt idx="0">
                  <c:v>44206</c:v>
                </c:pt>
                <c:pt idx="1">
                  <c:v>44237</c:v>
                </c:pt>
                <c:pt idx="2">
                  <c:v>44265</c:v>
                </c:pt>
                <c:pt idx="3">
                  <c:v>44296</c:v>
                </c:pt>
                <c:pt idx="4">
                  <c:v>44326</c:v>
                </c:pt>
                <c:pt idx="5">
                  <c:v>44357</c:v>
                </c:pt>
                <c:pt idx="6">
                  <c:v>44387</c:v>
                </c:pt>
                <c:pt idx="7">
                  <c:v>44418</c:v>
                </c:pt>
                <c:pt idx="8">
                  <c:v>44449</c:v>
                </c:pt>
                <c:pt idx="9">
                  <c:v>44479</c:v>
                </c:pt>
                <c:pt idx="10">
                  <c:v>44510</c:v>
                </c:pt>
                <c:pt idx="11">
                  <c:v>44540</c:v>
                </c:pt>
              </c:numCache>
            </c:numRef>
          </c:cat>
          <c:val>
            <c:numRef>
              <c:f>SAST!$M$14:$M$25</c:f>
              <c:numCache>
                <c:formatCode>#,##0;\-#,##0;0.0</c:formatCode>
                <c:ptCount val="12"/>
                <c:pt idx="0">
                  <c:v>140.80000000000001</c:v>
                </c:pt>
                <c:pt idx="1">
                  <c:v>211.18</c:v>
                </c:pt>
                <c:pt idx="2">
                  <c:v>440.03000000000003</c:v>
                </c:pt>
                <c:pt idx="3">
                  <c:v>5974.8600000000006</c:v>
                </c:pt>
                <c:pt idx="4">
                  <c:v>1400.44</c:v>
                </c:pt>
                <c:pt idx="5">
                  <c:v>81.680000000000007</c:v>
                </c:pt>
                <c:pt idx="6">
                  <c:v>8267.1</c:v>
                </c:pt>
                <c:pt idx="7" formatCode="General">
                  <c:v>2082</c:v>
                </c:pt>
                <c:pt idx="8" formatCode="General">
                  <c:v>6</c:v>
                </c:pt>
                <c:pt idx="9">
                  <c:v>3316.25</c:v>
                </c:pt>
                <c:pt idx="10">
                  <c:v>108</c:v>
                </c:pt>
                <c:pt idx="11" formatCode="General">
                  <c:v>6.2</c:v>
                </c:pt>
              </c:numCache>
            </c:numRef>
          </c:val>
          <c:extLst>
            <c:ext xmlns:c16="http://schemas.microsoft.com/office/drawing/2014/chart" uri="{C3380CC4-5D6E-409C-BE32-E72D297353CC}">
              <c16:uniqueId val="{00000000-3426-4333-9862-55C9C7478C3B}"/>
            </c:ext>
          </c:extLst>
        </c:ser>
        <c:dLbls>
          <c:showLegendKey val="0"/>
          <c:showVal val="0"/>
          <c:showCatName val="0"/>
          <c:showSerName val="0"/>
          <c:showPercent val="0"/>
          <c:showBubbleSize val="0"/>
        </c:dLbls>
        <c:gapWidth val="219"/>
        <c:axId val="396895216"/>
        <c:axId val="396896392"/>
      </c:barChart>
      <c:lineChart>
        <c:grouping val="standard"/>
        <c:varyColors val="0"/>
        <c:ser>
          <c:idx val="0"/>
          <c:order val="0"/>
          <c:tx>
            <c:strRef>
              <c:f>SAST!$L$7:$L$8</c:f>
              <c:strCache>
                <c:ptCount val="2"/>
                <c:pt idx="0">
                  <c:v> Open Offers (LHS)</c:v>
                </c:pt>
              </c:strCache>
            </c:strRef>
          </c:tx>
          <c:spPr>
            <a:ln w="28575" cap="rnd">
              <a:solidFill>
                <a:srgbClr val="70AD47"/>
              </a:solidFill>
              <a:round/>
            </a:ln>
            <a:effectLst/>
          </c:spPr>
          <c:marker>
            <c:symbol val="none"/>
          </c:marker>
          <c:cat>
            <c:numRef>
              <c:f>SAST!$K$14:$K$25</c:f>
              <c:numCache>
                <c:formatCode>[$-409]mmm\-yy</c:formatCode>
                <c:ptCount val="12"/>
                <c:pt idx="0">
                  <c:v>44206</c:v>
                </c:pt>
                <c:pt idx="1">
                  <c:v>44237</c:v>
                </c:pt>
                <c:pt idx="2">
                  <c:v>44265</c:v>
                </c:pt>
                <c:pt idx="3">
                  <c:v>44296</c:v>
                </c:pt>
                <c:pt idx="4">
                  <c:v>44326</c:v>
                </c:pt>
                <c:pt idx="5">
                  <c:v>44357</c:v>
                </c:pt>
                <c:pt idx="6">
                  <c:v>44387</c:v>
                </c:pt>
                <c:pt idx="7">
                  <c:v>44418</c:v>
                </c:pt>
                <c:pt idx="8">
                  <c:v>44449</c:v>
                </c:pt>
                <c:pt idx="9">
                  <c:v>44479</c:v>
                </c:pt>
                <c:pt idx="10">
                  <c:v>44510</c:v>
                </c:pt>
                <c:pt idx="11">
                  <c:v>44540</c:v>
                </c:pt>
              </c:numCache>
            </c:numRef>
          </c:cat>
          <c:val>
            <c:numRef>
              <c:f>SAST!$L$14:$L$25</c:f>
              <c:numCache>
                <c:formatCode>General</c:formatCode>
                <c:ptCount val="12"/>
                <c:pt idx="0">
                  <c:v>3</c:v>
                </c:pt>
                <c:pt idx="1">
                  <c:v>5</c:v>
                </c:pt>
                <c:pt idx="2">
                  <c:v>3</c:v>
                </c:pt>
                <c:pt idx="3">
                  <c:v>6</c:v>
                </c:pt>
                <c:pt idx="4">
                  <c:v>3</c:v>
                </c:pt>
                <c:pt idx="5">
                  <c:v>6</c:v>
                </c:pt>
                <c:pt idx="6">
                  <c:v>5</c:v>
                </c:pt>
                <c:pt idx="7">
                  <c:v>8</c:v>
                </c:pt>
                <c:pt idx="8">
                  <c:v>3</c:v>
                </c:pt>
                <c:pt idx="9">
                  <c:v>7</c:v>
                </c:pt>
                <c:pt idx="10">
                  <c:v>7</c:v>
                </c:pt>
                <c:pt idx="11">
                  <c:v>5</c:v>
                </c:pt>
              </c:numCache>
            </c:numRef>
          </c:val>
          <c:smooth val="0"/>
          <c:extLst>
            <c:ext xmlns:c16="http://schemas.microsoft.com/office/drawing/2014/chart" uri="{C3380CC4-5D6E-409C-BE32-E72D297353CC}">
              <c16:uniqueId val="{00000001-3426-4333-9862-55C9C7478C3B}"/>
            </c:ext>
          </c:extLst>
        </c:ser>
        <c:dLbls>
          <c:showLegendKey val="0"/>
          <c:showVal val="0"/>
          <c:showCatName val="0"/>
          <c:showSerName val="0"/>
          <c:showPercent val="0"/>
          <c:showBubbleSize val="0"/>
        </c:dLbls>
        <c:marker val="1"/>
        <c:smooth val="0"/>
        <c:axId val="396895608"/>
        <c:axId val="396896784"/>
      </c:lineChart>
      <c:dateAx>
        <c:axId val="39689560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crossAx val="396896784"/>
        <c:crosses val="autoZero"/>
        <c:auto val="1"/>
        <c:lblOffset val="100"/>
        <c:baseTimeUnit val="months"/>
      </c:dateAx>
      <c:valAx>
        <c:axId val="396896784"/>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crossAx val="396895608"/>
        <c:crosses val="autoZero"/>
        <c:crossBetween val="between"/>
        <c:majorUnit val="2"/>
      </c:valAx>
      <c:valAx>
        <c:axId val="396896392"/>
        <c:scaling>
          <c:orientation val="minMax"/>
          <c:max val="9000"/>
          <c:min val="0"/>
        </c:scaling>
        <c:delete val="0"/>
        <c:axPos val="r"/>
        <c:title>
          <c:tx>
            <c:rich>
              <a:bodyPr rot="-54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r>
                  <a:rPr lang="en-GB"/>
                  <a:t>₹</a:t>
                </a:r>
                <a:r>
                  <a:rPr lang="en-IN"/>
                  <a:t> Crore</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crossAx val="396895216"/>
        <c:crosses val="max"/>
        <c:crossBetween val="between"/>
        <c:majorUnit val="1000"/>
      </c:valAx>
      <c:dateAx>
        <c:axId val="396895216"/>
        <c:scaling>
          <c:orientation val="minMax"/>
        </c:scaling>
        <c:delete val="1"/>
        <c:axPos val="b"/>
        <c:numFmt formatCode="[$-409]mmm\-yy" sourceLinked="1"/>
        <c:majorTickMark val="out"/>
        <c:minorTickMark val="none"/>
        <c:tickLblPos val="nextTo"/>
        <c:crossAx val="396896392"/>
        <c:crosses val="autoZero"/>
        <c:auto val="1"/>
        <c:lblOffset val="100"/>
        <c:baseTimeUnit val="months"/>
        <c:majorUnit val="1"/>
        <c:minorUnit val="1"/>
      </c:date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65000"/>
        </a:sysClr>
      </a:solidFill>
      <a:round/>
    </a:ln>
    <a:effectLst/>
  </c:spPr>
  <c:txPr>
    <a:bodyPr/>
    <a:lstStyle/>
    <a:p>
      <a:pPr>
        <a:defRPr sz="1050" b="1">
          <a:solidFill>
            <a:sysClr val="windowText" lastClr="000000"/>
          </a:solidFill>
          <a:latin typeface="Garamond" panose="02020404030301010803"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45248133130945E-2"/>
          <c:y val="4.8457047204283857E-2"/>
          <c:w val="0.87999285983458619"/>
          <c:h val="0.67329858730400871"/>
        </c:manualLayout>
      </c:layout>
      <c:lineChart>
        <c:grouping val="standard"/>
        <c:varyColors val="0"/>
        <c:ser>
          <c:idx val="0"/>
          <c:order val="0"/>
          <c:tx>
            <c:strRef>
              <c:f>Index_Chart!$D$1</c:f>
              <c:strCache>
                <c:ptCount val="1"/>
                <c:pt idx="0">
                  <c:v>MCX iCOMDEX</c:v>
                </c:pt>
              </c:strCache>
            </c:strRef>
          </c:tx>
          <c:spPr>
            <a:ln w="28575" cap="rnd">
              <a:solidFill>
                <a:schemeClr val="accent1"/>
              </a:solidFill>
              <a:round/>
            </a:ln>
            <a:effectLst/>
          </c:spPr>
          <c:marker>
            <c:symbol val="none"/>
          </c:marker>
          <c:dPt>
            <c:idx val="258"/>
            <c:marker>
              <c:symbol val="square"/>
              <c:size val="8"/>
              <c:spPr>
                <a:solidFill>
                  <a:srgbClr val="002060"/>
                </a:solidFill>
                <a:ln w="9525">
                  <a:solidFill>
                    <a:schemeClr val="accent1"/>
                  </a:solidFill>
                </a:ln>
                <a:effectLst/>
              </c:spPr>
            </c:marker>
            <c:bubble3D val="0"/>
            <c:extLst>
              <c:ext xmlns:c16="http://schemas.microsoft.com/office/drawing/2014/chart" uri="{C3380CC4-5D6E-409C-BE32-E72D297353CC}">
                <c16:uniqueId val="{00000000-B7D3-4DA2-A4AC-F2EBA1791EFC}"/>
              </c:ext>
            </c:extLst>
          </c:dPt>
          <c:dLbls>
            <c:dLbl>
              <c:idx val="258"/>
              <c:layout>
                <c:manualLayout>
                  <c:x val="-1.3869620471123147E-2"/>
                  <c:y val="4.7381042302575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D3-4DA2-A4AC-F2EBA1791EF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Index_Chart!$A$2:$A$262</c:f>
              <c:numCache>
                <c:formatCode>d\-mmm\-yy</c:formatCode>
                <c:ptCount val="261"/>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44223</c:v>
                </c:pt>
                <c:pt idx="19">
                  <c:v>44224</c:v>
                </c:pt>
                <c:pt idx="20">
                  <c:v>44225</c:v>
                </c:pt>
                <c:pt idx="21">
                  <c:v>44228</c:v>
                </c:pt>
                <c:pt idx="22">
                  <c:v>44229</c:v>
                </c:pt>
                <c:pt idx="23">
                  <c:v>44230</c:v>
                </c:pt>
                <c:pt idx="24">
                  <c:v>44231</c:v>
                </c:pt>
                <c:pt idx="25">
                  <c:v>44232</c:v>
                </c:pt>
                <c:pt idx="26">
                  <c:v>44235</c:v>
                </c:pt>
                <c:pt idx="27">
                  <c:v>44236</c:v>
                </c:pt>
                <c:pt idx="28">
                  <c:v>44237</c:v>
                </c:pt>
                <c:pt idx="29">
                  <c:v>44238</c:v>
                </c:pt>
                <c:pt idx="30">
                  <c:v>44239</c:v>
                </c:pt>
                <c:pt idx="31">
                  <c:v>44242</c:v>
                </c:pt>
                <c:pt idx="32">
                  <c:v>44243</c:v>
                </c:pt>
                <c:pt idx="33">
                  <c:v>44244</c:v>
                </c:pt>
                <c:pt idx="34">
                  <c:v>44245</c:v>
                </c:pt>
                <c:pt idx="35">
                  <c:v>44246</c:v>
                </c:pt>
                <c:pt idx="36">
                  <c:v>44249</c:v>
                </c:pt>
                <c:pt idx="37">
                  <c:v>44250</c:v>
                </c:pt>
                <c:pt idx="38">
                  <c:v>44251</c:v>
                </c:pt>
                <c:pt idx="39">
                  <c:v>44252</c:v>
                </c:pt>
                <c:pt idx="40">
                  <c:v>44253</c:v>
                </c:pt>
                <c:pt idx="41">
                  <c:v>44256</c:v>
                </c:pt>
                <c:pt idx="42">
                  <c:v>44257</c:v>
                </c:pt>
                <c:pt idx="43">
                  <c:v>44258</c:v>
                </c:pt>
                <c:pt idx="44">
                  <c:v>44259</c:v>
                </c:pt>
                <c:pt idx="45">
                  <c:v>44260</c:v>
                </c:pt>
                <c:pt idx="46">
                  <c:v>44263</c:v>
                </c:pt>
                <c:pt idx="47">
                  <c:v>44264</c:v>
                </c:pt>
                <c:pt idx="48">
                  <c:v>44265</c:v>
                </c:pt>
                <c:pt idx="49">
                  <c:v>44266</c:v>
                </c:pt>
                <c:pt idx="50">
                  <c:v>44267</c:v>
                </c:pt>
                <c:pt idx="51">
                  <c:v>44270</c:v>
                </c:pt>
                <c:pt idx="52">
                  <c:v>44271</c:v>
                </c:pt>
                <c:pt idx="53">
                  <c:v>44272</c:v>
                </c:pt>
                <c:pt idx="54">
                  <c:v>44273</c:v>
                </c:pt>
                <c:pt idx="55">
                  <c:v>44274</c:v>
                </c:pt>
                <c:pt idx="56">
                  <c:v>44277</c:v>
                </c:pt>
                <c:pt idx="57">
                  <c:v>44278</c:v>
                </c:pt>
                <c:pt idx="58">
                  <c:v>44279</c:v>
                </c:pt>
                <c:pt idx="59">
                  <c:v>44280</c:v>
                </c:pt>
                <c:pt idx="60">
                  <c:v>44281</c:v>
                </c:pt>
                <c:pt idx="61">
                  <c:v>44284</c:v>
                </c:pt>
                <c:pt idx="62">
                  <c:v>44285</c:v>
                </c:pt>
                <c:pt idx="63">
                  <c:v>44286</c:v>
                </c:pt>
                <c:pt idx="64">
                  <c:v>44287</c:v>
                </c:pt>
                <c:pt idx="65">
                  <c:v>44291</c:v>
                </c:pt>
                <c:pt idx="66">
                  <c:v>44292</c:v>
                </c:pt>
                <c:pt idx="67">
                  <c:v>44293</c:v>
                </c:pt>
                <c:pt idx="68">
                  <c:v>44294</c:v>
                </c:pt>
                <c:pt idx="69">
                  <c:v>44295</c:v>
                </c:pt>
                <c:pt idx="70">
                  <c:v>44298</c:v>
                </c:pt>
                <c:pt idx="71">
                  <c:v>44299</c:v>
                </c:pt>
                <c:pt idx="72">
                  <c:v>44300</c:v>
                </c:pt>
                <c:pt idx="73">
                  <c:v>44301</c:v>
                </c:pt>
                <c:pt idx="74">
                  <c:v>44302</c:v>
                </c:pt>
                <c:pt idx="75">
                  <c:v>44305</c:v>
                </c:pt>
                <c:pt idx="76">
                  <c:v>44306</c:v>
                </c:pt>
                <c:pt idx="77">
                  <c:v>44307</c:v>
                </c:pt>
                <c:pt idx="78">
                  <c:v>44308</c:v>
                </c:pt>
                <c:pt idx="79">
                  <c:v>44309</c:v>
                </c:pt>
                <c:pt idx="80">
                  <c:v>44312</c:v>
                </c:pt>
                <c:pt idx="81">
                  <c:v>44313</c:v>
                </c:pt>
                <c:pt idx="82">
                  <c:v>44314</c:v>
                </c:pt>
                <c:pt idx="83">
                  <c:v>44315</c:v>
                </c:pt>
                <c:pt idx="84">
                  <c:v>44316</c:v>
                </c:pt>
                <c:pt idx="85">
                  <c:v>44319</c:v>
                </c:pt>
                <c:pt idx="86">
                  <c:v>44320</c:v>
                </c:pt>
                <c:pt idx="87">
                  <c:v>44321</c:v>
                </c:pt>
                <c:pt idx="88">
                  <c:v>44322</c:v>
                </c:pt>
                <c:pt idx="89">
                  <c:v>44323</c:v>
                </c:pt>
                <c:pt idx="90">
                  <c:v>44326</c:v>
                </c:pt>
                <c:pt idx="91">
                  <c:v>44327</c:v>
                </c:pt>
                <c:pt idx="92">
                  <c:v>44328</c:v>
                </c:pt>
                <c:pt idx="93">
                  <c:v>44329</c:v>
                </c:pt>
                <c:pt idx="94">
                  <c:v>44330</c:v>
                </c:pt>
                <c:pt idx="95">
                  <c:v>44333</c:v>
                </c:pt>
                <c:pt idx="96">
                  <c:v>44334</c:v>
                </c:pt>
                <c:pt idx="97">
                  <c:v>44335</c:v>
                </c:pt>
                <c:pt idx="98">
                  <c:v>44336</c:v>
                </c:pt>
                <c:pt idx="99">
                  <c:v>44337</c:v>
                </c:pt>
                <c:pt idx="100">
                  <c:v>44340</c:v>
                </c:pt>
                <c:pt idx="101">
                  <c:v>44341</c:v>
                </c:pt>
                <c:pt idx="102">
                  <c:v>44342</c:v>
                </c:pt>
                <c:pt idx="103">
                  <c:v>44343</c:v>
                </c:pt>
                <c:pt idx="104">
                  <c:v>44344</c:v>
                </c:pt>
                <c:pt idx="105">
                  <c:v>44347</c:v>
                </c:pt>
                <c:pt idx="106">
                  <c:v>44348</c:v>
                </c:pt>
                <c:pt idx="107">
                  <c:v>44349</c:v>
                </c:pt>
                <c:pt idx="108">
                  <c:v>44350</c:v>
                </c:pt>
                <c:pt idx="109">
                  <c:v>44351</c:v>
                </c:pt>
                <c:pt idx="110">
                  <c:v>44354</c:v>
                </c:pt>
                <c:pt idx="111">
                  <c:v>44355</c:v>
                </c:pt>
                <c:pt idx="112">
                  <c:v>44356</c:v>
                </c:pt>
                <c:pt idx="113">
                  <c:v>44357</c:v>
                </c:pt>
                <c:pt idx="114">
                  <c:v>44358</c:v>
                </c:pt>
                <c:pt idx="115">
                  <c:v>44361</c:v>
                </c:pt>
                <c:pt idx="116">
                  <c:v>44362</c:v>
                </c:pt>
                <c:pt idx="117">
                  <c:v>44363</c:v>
                </c:pt>
                <c:pt idx="118">
                  <c:v>44364</c:v>
                </c:pt>
                <c:pt idx="119">
                  <c:v>44365</c:v>
                </c:pt>
                <c:pt idx="120">
                  <c:v>44368</c:v>
                </c:pt>
                <c:pt idx="121">
                  <c:v>44369</c:v>
                </c:pt>
                <c:pt idx="122">
                  <c:v>44370</c:v>
                </c:pt>
                <c:pt idx="123">
                  <c:v>44371</c:v>
                </c:pt>
                <c:pt idx="124">
                  <c:v>44372</c:v>
                </c:pt>
                <c:pt idx="125">
                  <c:v>44375</c:v>
                </c:pt>
                <c:pt idx="126">
                  <c:v>44376</c:v>
                </c:pt>
                <c:pt idx="127">
                  <c:v>44377</c:v>
                </c:pt>
                <c:pt idx="128">
                  <c:v>44378</c:v>
                </c:pt>
                <c:pt idx="129">
                  <c:v>44379</c:v>
                </c:pt>
                <c:pt idx="130">
                  <c:v>44382</c:v>
                </c:pt>
                <c:pt idx="131">
                  <c:v>44383</c:v>
                </c:pt>
                <c:pt idx="132">
                  <c:v>44384</c:v>
                </c:pt>
                <c:pt idx="133">
                  <c:v>44385</c:v>
                </c:pt>
                <c:pt idx="134">
                  <c:v>44386</c:v>
                </c:pt>
                <c:pt idx="135">
                  <c:v>44389</c:v>
                </c:pt>
                <c:pt idx="136">
                  <c:v>44390</c:v>
                </c:pt>
                <c:pt idx="137">
                  <c:v>44391</c:v>
                </c:pt>
                <c:pt idx="138">
                  <c:v>44392</c:v>
                </c:pt>
                <c:pt idx="139">
                  <c:v>44393</c:v>
                </c:pt>
                <c:pt idx="140">
                  <c:v>44396</c:v>
                </c:pt>
                <c:pt idx="141">
                  <c:v>44397</c:v>
                </c:pt>
                <c:pt idx="142">
                  <c:v>44398</c:v>
                </c:pt>
                <c:pt idx="143">
                  <c:v>44399</c:v>
                </c:pt>
                <c:pt idx="144">
                  <c:v>44400</c:v>
                </c:pt>
                <c:pt idx="145">
                  <c:v>44403</c:v>
                </c:pt>
                <c:pt idx="146">
                  <c:v>44404</c:v>
                </c:pt>
                <c:pt idx="147">
                  <c:v>44405</c:v>
                </c:pt>
                <c:pt idx="148">
                  <c:v>44406</c:v>
                </c:pt>
                <c:pt idx="149">
                  <c:v>44407</c:v>
                </c:pt>
                <c:pt idx="150">
                  <c:v>44410</c:v>
                </c:pt>
                <c:pt idx="151">
                  <c:v>44411</c:v>
                </c:pt>
                <c:pt idx="152">
                  <c:v>44412</c:v>
                </c:pt>
                <c:pt idx="153">
                  <c:v>44413</c:v>
                </c:pt>
                <c:pt idx="154">
                  <c:v>44414</c:v>
                </c:pt>
                <c:pt idx="155">
                  <c:v>44417</c:v>
                </c:pt>
                <c:pt idx="156">
                  <c:v>44418</c:v>
                </c:pt>
                <c:pt idx="157">
                  <c:v>44419</c:v>
                </c:pt>
                <c:pt idx="158">
                  <c:v>44420</c:v>
                </c:pt>
                <c:pt idx="159">
                  <c:v>44421</c:v>
                </c:pt>
                <c:pt idx="160">
                  <c:v>44424</c:v>
                </c:pt>
                <c:pt idx="161">
                  <c:v>44425</c:v>
                </c:pt>
                <c:pt idx="162">
                  <c:v>44426</c:v>
                </c:pt>
                <c:pt idx="163">
                  <c:v>44427</c:v>
                </c:pt>
                <c:pt idx="164">
                  <c:v>44428</c:v>
                </c:pt>
                <c:pt idx="165">
                  <c:v>44431</c:v>
                </c:pt>
                <c:pt idx="166">
                  <c:v>44432</c:v>
                </c:pt>
                <c:pt idx="167">
                  <c:v>44433</c:v>
                </c:pt>
                <c:pt idx="168">
                  <c:v>44434</c:v>
                </c:pt>
                <c:pt idx="169">
                  <c:v>44435</c:v>
                </c:pt>
                <c:pt idx="170">
                  <c:v>44438</c:v>
                </c:pt>
                <c:pt idx="171">
                  <c:v>44439</c:v>
                </c:pt>
                <c:pt idx="172">
                  <c:v>44440</c:v>
                </c:pt>
                <c:pt idx="173">
                  <c:v>44441</c:v>
                </c:pt>
                <c:pt idx="174">
                  <c:v>44442</c:v>
                </c:pt>
                <c:pt idx="175">
                  <c:v>44445</c:v>
                </c:pt>
                <c:pt idx="176">
                  <c:v>44446</c:v>
                </c:pt>
                <c:pt idx="177">
                  <c:v>44447</c:v>
                </c:pt>
                <c:pt idx="178">
                  <c:v>44448</c:v>
                </c:pt>
                <c:pt idx="179">
                  <c:v>44449</c:v>
                </c:pt>
                <c:pt idx="180">
                  <c:v>44452</c:v>
                </c:pt>
                <c:pt idx="181">
                  <c:v>44453</c:v>
                </c:pt>
                <c:pt idx="182">
                  <c:v>44454</c:v>
                </c:pt>
                <c:pt idx="183">
                  <c:v>44455</c:v>
                </c:pt>
                <c:pt idx="184">
                  <c:v>44456</c:v>
                </c:pt>
                <c:pt idx="185">
                  <c:v>44459</c:v>
                </c:pt>
                <c:pt idx="186">
                  <c:v>44460</c:v>
                </c:pt>
                <c:pt idx="187">
                  <c:v>44461</c:v>
                </c:pt>
                <c:pt idx="188">
                  <c:v>44462</c:v>
                </c:pt>
                <c:pt idx="189">
                  <c:v>44463</c:v>
                </c:pt>
                <c:pt idx="190">
                  <c:v>44466</c:v>
                </c:pt>
                <c:pt idx="191">
                  <c:v>44467</c:v>
                </c:pt>
                <c:pt idx="192">
                  <c:v>44468</c:v>
                </c:pt>
                <c:pt idx="193">
                  <c:v>44469</c:v>
                </c:pt>
                <c:pt idx="194">
                  <c:v>44470</c:v>
                </c:pt>
                <c:pt idx="195">
                  <c:v>44473</c:v>
                </c:pt>
                <c:pt idx="196">
                  <c:v>44474</c:v>
                </c:pt>
                <c:pt idx="197">
                  <c:v>44475</c:v>
                </c:pt>
                <c:pt idx="198">
                  <c:v>44476</c:v>
                </c:pt>
                <c:pt idx="199">
                  <c:v>44477</c:v>
                </c:pt>
                <c:pt idx="200">
                  <c:v>44480</c:v>
                </c:pt>
                <c:pt idx="201">
                  <c:v>44481</c:v>
                </c:pt>
                <c:pt idx="202">
                  <c:v>44482</c:v>
                </c:pt>
                <c:pt idx="203">
                  <c:v>44483</c:v>
                </c:pt>
                <c:pt idx="204">
                  <c:v>44484</c:v>
                </c:pt>
                <c:pt idx="205">
                  <c:v>44487</c:v>
                </c:pt>
                <c:pt idx="206">
                  <c:v>44488</c:v>
                </c:pt>
                <c:pt idx="207">
                  <c:v>44489</c:v>
                </c:pt>
                <c:pt idx="208">
                  <c:v>44490</c:v>
                </c:pt>
                <c:pt idx="209">
                  <c:v>44491</c:v>
                </c:pt>
                <c:pt idx="210">
                  <c:v>44494</c:v>
                </c:pt>
                <c:pt idx="211">
                  <c:v>44495</c:v>
                </c:pt>
                <c:pt idx="212">
                  <c:v>44496</c:v>
                </c:pt>
                <c:pt idx="213">
                  <c:v>44497</c:v>
                </c:pt>
                <c:pt idx="214">
                  <c:v>44498</c:v>
                </c:pt>
                <c:pt idx="215">
                  <c:v>44501</c:v>
                </c:pt>
                <c:pt idx="216">
                  <c:v>44502</c:v>
                </c:pt>
                <c:pt idx="217">
                  <c:v>44503</c:v>
                </c:pt>
                <c:pt idx="218">
                  <c:v>44504</c:v>
                </c:pt>
                <c:pt idx="219">
                  <c:v>44505</c:v>
                </c:pt>
                <c:pt idx="220">
                  <c:v>44508</c:v>
                </c:pt>
                <c:pt idx="221">
                  <c:v>44509</c:v>
                </c:pt>
                <c:pt idx="222">
                  <c:v>44510</c:v>
                </c:pt>
                <c:pt idx="223">
                  <c:v>44511</c:v>
                </c:pt>
                <c:pt idx="224">
                  <c:v>44512</c:v>
                </c:pt>
                <c:pt idx="225">
                  <c:v>44515</c:v>
                </c:pt>
                <c:pt idx="226">
                  <c:v>44516</c:v>
                </c:pt>
                <c:pt idx="227">
                  <c:v>44517</c:v>
                </c:pt>
                <c:pt idx="228">
                  <c:v>44518</c:v>
                </c:pt>
                <c:pt idx="229">
                  <c:v>44519</c:v>
                </c:pt>
                <c:pt idx="230">
                  <c:v>44522</c:v>
                </c:pt>
                <c:pt idx="231">
                  <c:v>44523</c:v>
                </c:pt>
                <c:pt idx="232">
                  <c:v>44524</c:v>
                </c:pt>
                <c:pt idx="233">
                  <c:v>44525</c:v>
                </c:pt>
                <c:pt idx="234">
                  <c:v>44526</c:v>
                </c:pt>
                <c:pt idx="235">
                  <c:v>44529</c:v>
                </c:pt>
                <c:pt idx="236">
                  <c:v>44530</c:v>
                </c:pt>
                <c:pt idx="237">
                  <c:v>44531</c:v>
                </c:pt>
                <c:pt idx="238">
                  <c:v>44532</c:v>
                </c:pt>
                <c:pt idx="239">
                  <c:v>44533</c:v>
                </c:pt>
                <c:pt idx="240">
                  <c:v>44536</c:v>
                </c:pt>
                <c:pt idx="241">
                  <c:v>44537</c:v>
                </c:pt>
                <c:pt idx="242">
                  <c:v>44538</c:v>
                </c:pt>
                <c:pt idx="243">
                  <c:v>44539</c:v>
                </c:pt>
                <c:pt idx="244">
                  <c:v>44540</c:v>
                </c:pt>
                <c:pt idx="245">
                  <c:v>44543</c:v>
                </c:pt>
                <c:pt idx="246">
                  <c:v>44544</c:v>
                </c:pt>
                <c:pt idx="247">
                  <c:v>44545</c:v>
                </c:pt>
                <c:pt idx="248">
                  <c:v>44546</c:v>
                </c:pt>
                <c:pt idx="249">
                  <c:v>44547</c:v>
                </c:pt>
                <c:pt idx="250">
                  <c:v>44550</c:v>
                </c:pt>
                <c:pt idx="251">
                  <c:v>44551</c:v>
                </c:pt>
                <c:pt idx="252">
                  <c:v>44552</c:v>
                </c:pt>
                <c:pt idx="253">
                  <c:v>44553</c:v>
                </c:pt>
                <c:pt idx="254">
                  <c:v>44554</c:v>
                </c:pt>
                <c:pt idx="255">
                  <c:v>44557</c:v>
                </c:pt>
                <c:pt idx="256">
                  <c:v>44558</c:v>
                </c:pt>
                <c:pt idx="257">
                  <c:v>44559</c:v>
                </c:pt>
                <c:pt idx="258">
                  <c:v>44560</c:v>
                </c:pt>
                <c:pt idx="259">
                  <c:v>44561</c:v>
                </c:pt>
              </c:numCache>
            </c:numRef>
          </c:cat>
          <c:val>
            <c:numRef>
              <c:f>Index_Chart!$D$2:$D$262</c:f>
              <c:numCache>
                <c:formatCode>_(* #,##0.00_);_(* \(#,##0.00\);_(* "-"??_);_(@_)</c:formatCode>
                <c:ptCount val="261"/>
                <c:pt idx="0">
                  <c:v>100</c:v>
                </c:pt>
                <c:pt idx="1">
                  <c:v>100.17298534432366</c:v>
                </c:pt>
                <c:pt idx="2">
                  <c:v>101.91607211879914</c:v>
                </c:pt>
                <c:pt idx="3">
                  <c:v>103.55776682299134</c:v>
                </c:pt>
                <c:pt idx="4">
                  <c:v>102.90019402538894</c:v>
                </c:pt>
                <c:pt idx="5">
                  <c:v>103.70647519274014</c:v>
                </c:pt>
                <c:pt idx="6">
                  <c:v>100.90976772171543</c:v>
                </c:pt>
                <c:pt idx="7">
                  <c:v>100.73183177865492</c:v>
                </c:pt>
                <c:pt idx="8">
                  <c:v>101.23936335300243</c:v>
                </c:pt>
                <c:pt idx="9">
                  <c:v>101.40492279922084</c:v>
                </c:pt>
                <c:pt idx="10">
                  <c:v>101.60665969774692</c:v>
                </c:pt>
                <c:pt idx="11">
                  <c:v>100.04969639501206</c:v>
                </c:pt>
                <c:pt idx="12">
                  <c:v>100.38576588618572</c:v>
                </c:pt>
                <c:pt idx="13">
                  <c:v>100.7273571990274</c:v>
                </c:pt>
                <c:pt idx="14">
                  <c:v>101.56629327727731</c:v>
                </c:pt>
                <c:pt idx="15">
                  <c:v>101.63655369781164</c:v>
                </c:pt>
                <c:pt idx="16">
                  <c:v>100.8503605368734</c:v>
                </c:pt>
                <c:pt idx="17">
                  <c:v>100.94499313580445</c:v>
                </c:pt>
                <c:pt idx="18">
                  <c:v>100.64348263196679</c:v>
                </c:pt>
                <c:pt idx="19">
                  <c:v>100.55675195025029</c:v>
                </c:pt>
                <c:pt idx="20">
                  <c:v>101.27792090085663</c:v>
                </c:pt>
                <c:pt idx="21">
                  <c:v>102.37266964845035</c:v>
                </c:pt>
                <c:pt idx="22">
                  <c:v>100.41699273975652</c:v>
                </c:pt>
                <c:pt idx="23">
                  <c:v>100.86683079805555</c:v>
                </c:pt>
                <c:pt idx="24">
                  <c:v>99.820064776680383</c:v>
                </c:pt>
                <c:pt idx="25">
                  <c:v>101.47604005415192</c:v>
                </c:pt>
                <c:pt idx="26">
                  <c:v>102.72463817787501</c:v>
                </c:pt>
                <c:pt idx="27">
                  <c:v>103.15000885395543</c:v>
                </c:pt>
                <c:pt idx="28">
                  <c:v>103.38849442772032</c:v>
                </c:pt>
                <c:pt idx="29">
                  <c:v>102.88753191708126</c:v>
                </c:pt>
                <c:pt idx="30">
                  <c:v>103.30995127468397</c:v>
                </c:pt>
                <c:pt idx="31">
                  <c:v>103.89954854347671</c:v>
                </c:pt>
                <c:pt idx="32">
                  <c:v>103.72713442208423</c:v>
                </c:pt>
                <c:pt idx="33">
                  <c:v>103.37316661240048</c:v>
                </c:pt>
                <c:pt idx="34">
                  <c:v>103.4600877017607</c:v>
                </c:pt>
                <c:pt idx="35">
                  <c:v>103.96304949265883</c:v>
                </c:pt>
                <c:pt idx="36">
                  <c:v>105.48202647047063</c:v>
                </c:pt>
                <c:pt idx="37">
                  <c:v>105.29980635542631</c:v>
                </c:pt>
                <c:pt idx="38">
                  <c:v>105.77706311442165</c:v>
                </c:pt>
                <c:pt idx="39">
                  <c:v>105.37101881417928</c:v>
                </c:pt>
                <c:pt idx="40">
                  <c:v>103.96228786208393</c:v>
                </c:pt>
                <c:pt idx="41">
                  <c:v>102.93046884074113</c:v>
                </c:pt>
                <c:pt idx="42">
                  <c:v>103.77378429479674</c:v>
                </c:pt>
                <c:pt idx="43">
                  <c:v>102.01565531646702</c:v>
                </c:pt>
                <c:pt idx="44">
                  <c:v>100.60978047902753</c:v>
                </c:pt>
                <c:pt idx="45">
                  <c:v>101.76108029680744</c:v>
                </c:pt>
                <c:pt idx="46">
                  <c:v>101.44233790121271</c:v>
                </c:pt>
                <c:pt idx="47">
                  <c:v>101.5610570670749</c:v>
                </c:pt>
                <c:pt idx="48">
                  <c:v>101.12883171582038</c:v>
                </c:pt>
                <c:pt idx="49">
                  <c:v>102.28098836799704</c:v>
                </c:pt>
                <c:pt idx="50">
                  <c:v>101.60561245570644</c:v>
                </c:pt>
                <c:pt idx="51">
                  <c:v>101.93178074940641</c:v>
                </c:pt>
                <c:pt idx="52">
                  <c:v>101.32904535319665</c:v>
                </c:pt>
                <c:pt idx="53">
                  <c:v>101.33713767805494</c:v>
                </c:pt>
                <c:pt idx="54">
                  <c:v>100.50200975267951</c:v>
                </c:pt>
                <c:pt idx="55">
                  <c:v>100.73030851750514</c:v>
                </c:pt>
                <c:pt idx="56">
                  <c:v>100.6941310651975</c:v>
                </c:pt>
                <c:pt idx="57">
                  <c:v>98.855459653572325</c:v>
                </c:pt>
                <c:pt idx="58">
                  <c:v>99.800452789376777</c:v>
                </c:pt>
                <c:pt idx="59">
                  <c:v>98.770537844471221</c:v>
                </c:pt>
                <c:pt idx="60">
                  <c:v>99.801785642882834</c:v>
                </c:pt>
                <c:pt idx="61">
                  <c:v>99.367465807547376</c:v>
                </c:pt>
                <c:pt idx="62">
                  <c:v>98.559851786690118</c:v>
                </c:pt>
                <c:pt idx="63">
                  <c:v>99.15535169243833</c:v>
                </c:pt>
                <c:pt idx="64">
                  <c:v>100.46687954241233</c:v>
                </c:pt>
                <c:pt idx="65">
                  <c:v>100.12823954804841</c:v>
                </c:pt>
                <c:pt idx="66">
                  <c:v>101.54277793327735</c:v>
                </c:pt>
                <c:pt idx="67">
                  <c:v>102.46216124100084</c:v>
                </c:pt>
                <c:pt idx="68">
                  <c:v>103.3632654149268</c:v>
                </c:pt>
                <c:pt idx="69">
                  <c:v>102.75015280213408</c:v>
                </c:pt>
                <c:pt idx="70">
                  <c:v>102.03098313178684</c:v>
                </c:pt>
                <c:pt idx="71">
                  <c:v>103.31337861227099</c:v>
                </c:pt>
                <c:pt idx="72">
                  <c:v>104.26027582451269</c:v>
                </c:pt>
                <c:pt idx="73">
                  <c:v>105.13929271176661</c:v>
                </c:pt>
                <c:pt idx="74">
                  <c:v>105.09073876261688</c:v>
                </c:pt>
                <c:pt idx="75">
                  <c:v>105.40100801806587</c:v>
                </c:pt>
                <c:pt idx="76">
                  <c:v>105.81609668138519</c:v>
                </c:pt>
                <c:pt idx="77">
                  <c:v>106.49670880387822</c:v>
                </c:pt>
                <c:pt idx="78">
                  <c:v>105.75345256659983</c:v>
                </c:pt>
                <c:pt idx="79">
                  <c:v>105.75859357298039</c:v>
                </c:pt>
                <c:pt idx="80">
                  <c:v>106.28764121106877</c:v>
                </c:pt>
                <c:pt idx="81">
                  <c:v>106.7235795113759</c:v>
                </c:pt>
                <c:pt idx="82">
                  <c:v>106.82268668993447</c:v>
                </c:pt>
                <c:pt idx="83">
                  <c:v>106.19024770130372</c:v>
                </c:pt>
                <c:pt idx="84">
                  <c:v>105.93186452876964</c:v>
                </c:pt>
                <c:pt idx="85">
                  <c:v>107.49092231558544</c:v>
                </c:pt>
                <c:pt idx="86">
                  <c:v>107.19950341686516</c:v>
                </c:pt>
                <c:pt idx="87">
                  <c:v>107.27757055079219</c:v>
                </c:pt>
                <c:pt idx="88">
                  <c:v>108.31757710081513</c:v>
                </c:pt>
                <c:pt idx="89">
                  <c:v>108.77388901900078</c:v>
                </c:pt>
                <c:pt idx="90">
                  <c:v>108.83443864970515</c:v>
                </c:pt>
                <c:pt idx="91">
                  <c:v>109.0984388477291</c:v>
                </c:pt>
                <c:pt idx="92">
                  <c:v>108.89146573900061</c:v>
                </c:pt>
                <c:pt idx="93">
                  <c:v>107.4859717168486</c:v>
                </c:pt>
                <c:pt idx="94">
                  <c:v>108.21237687765736</c:v>
                </c:pt>
                <c:pt idx="95">
                  <c:v>110.25373722602718</c:v>
                </c:pt>
                <c:pt idx="96">
                  <c:v>109.56322390606049</c:v>
                </c:pt>
                <c:pt idx="97">
                  <c:v>108.26921355930912</c:v>
                </c:pt>
                <c:pt idx="98">
                  <c:v>107.45998107348021</c:v>
                </c:pt>
                <c:pt idx="99">
                  <c:v>106.93102863921369</c:v>
                </c:pt>
                <c:pt idx="100">
                  <c:v>107.90363088335818</c:v>
                </c:pt>
                <c:pt idx="101">
                  <c:v>108.17543779477484</c:v>
                </c:pt>
                <c:pt idx="102">
                  <c:v>107.97750904912327</c:v>
                </c:pt>
                <c:pt idx="103">
                  <c:v>108.84053169430435</c:v>
                </c:pt>
                <c:pt idx="104">
                  <c:v>108.68363579587536</c:v>
                </c:pt>
                <c:pt idx="105">
                  <c:v>109.0742570769761</c:v>
                </c:pt>
                <c:pt idx="106">
                  <c:v>109.61691886159078</c:v>
                </c:pt>
                <c:pt idx="107">
                  <c:v>110.0871305377683</c:v>
                </c:pt>
                <c:pt idx="108">
                  <c:v>108.10346370544698</c:v>
                </c:pt>
                <c:pt idx="109">
                  <c:v>108.99238179017459</c:v>
                </c:pt>
                <c:pt idx="110">
                  <c:v>109.12528632549426</c:v>
                </c:pt>
                <c:pt idx="111">
                  <c:v>109.20935130019859</c:v>
                </c:pt>
                <c:pt idx="112">
                  <c:v>109.20401988617429</c:v>
                </c:pt>
                <c:pt idx="113">
                  <c:v>109.29084577171267</c:v>
                </c:pt>
                <c:pt idx="114">
                  <c:v>109.40623280380967</c:v>
                </c:pt>
                <c:pt idx="115">
                  <c:v>109.00018850356727</c:v>
                </c:pt>
                <c:pt idx="116">
                  <c:v>108.03244165433776</c:v>
                </c:pt>
                <c:pt idx="117">
                  <c:v>108.24826871849942</c:v>
                </c:pt>
                <c:pt idx="118">
                  <c:v>105.35949915173393</c:v>
                </c:pt>
                <c:pt idx="119">
                  <c:v>105.2439217119932</c:v>
                </c:pt>
                <c:pt idx="120">
                  <c:v>106.24889325557083</c:v>
                </c:pt>
                <c:pt idx="121">
                  <c:v>106.58962773401575</c:v>
                </c:pt>
                <c:pt idx="122">
                  <c:v>107.20578686910807</c:v>
                </c:pt>
                <c:pt idx="123">
                  <c:v>107.25472163354523</c:v>
                </c:pt>
                <c:pt idx="124">
                  <c:v>107.55432806094566</c:v>
                </c:pt>
                <c:pt idx="125">
                  <c:v>107.48625732831418</c:v>
                </c:pt>
                <c:pt idx="126">
                  <c:v>107.15351997090569</c:v>
                </c:pt>
                <c:pt idx="127">
                  <c:v>107.70103715043535</c:v>
                </c:pt>
                <c:pt idx="128">
                  <c:v>108.23179845731727</c:v>
                </c:pt>
                <c:pt idx="129">
                  <c:v>109.02227579023931</c:v>
                </c:pt>
                <c:pt idx="130">
                  <c:v>109.5019126447812</c:v>
                </c:pt>
                <c:pt idx="131">
                  <c:v>108.51341136238572</c:v>
                </c:pt>
                <c:pt idx="132">
                  <c:v>108.67497224808591</c:v>
                </c:pt>
                <c:pt idx="133">
                  <c:v>108.42411017747895</c:v>
                </c:pt>
                <c:pt idx="134">
                  <c:v>109.5895953647163</c:v>
                </c:pt>
                <c:pt idx="135">
                  <c:v>109.36967453621457</c:v>
                </c:pt>
                <c:pt idx="136">
                  <c:v>109.78685768361484</c:v>
                </c:pt>
                <c:pt idx="137">
                  <c:v>109.60092461951791</c:v>
                </c:pt>
                <c:pt idx="138">
                  <c:v>109.83493561365528</c:v>
                </c:pt>
                <c:pt idx="139">
                  <c:v>109.61272989342883</c:v>
                </c:pt>
                <c:pt idx="140">
                  <c:v>107.62611174262979</c:v>
                </c:pt>
                <c:pt idx="141">
                  <c:v>107.857457029755</c:v>
                </c:pt>
                <c:pt idx="142">
                  <c:v>108.44572144504167</c:v>
                </c:pt>
                <c:pt idx="143">
                  <c:v>109.17736281605288</c:v>
                </c:pt>
                <c:pt idx="144">
                  <c:v>109.8411238620763</c:v>
                </c:pt>
                <c:pt idx="145">
                  <c:v>110.35865183771935</c:v>
                </c:pt>
                <c:pt idx="146">
                  <c:v>109.79285552439215</c:v>
                </c:pt>
                <c:pt idx="147">
                  <c:v>110.14587129585729</c:v>
                </c:pt>
                <c:pt idx="148">
                  <c:v>111.75367343946657</c:v>
                </c:pt>
                <c:pt idx="149">
                  <c:v>111.176357463694</c:v>
                </c:pt>
                <c:pt idx="150">
                  <c:v>110.28286959551706</c:v>
                </c:pt>
                <c:pt idx="151">
                  <c:v>109.7196437853801</c:v>
                </c:pt>
                <c:pt idx="152">
                  <c:v>109.21268343396375</c:v>
                </c:pt>
                <c:pt idx="153">
                  <c:v>109.18602636384233</c:v>
                </c:pt>
                <c:pt idx="154">
                  <c:v>107.82861027173074</c:v>
                </c:pt>
                <c:pt idx="155">
                  <c:v>105.64073124151496</c:v>
                </c:pt>
                <c:pt idx="156">
                  <c:v>106.68273707179701</c:v>
                </c:pt>
                <c:pt idx="157">
                  <c:v>107.57574892086468</c:v>
                </c:pt>
                <c:pt idx="158">
                  <c:v>107.16218351869517</c:v>
                </c:pt>
                <c:pt idx="159">
                  <c:v>107.97760425294511</c:v>
                </c:pt>
                <c:pt idx="160">
                  <c:v>107.94209322739053</c:v>
                </c:pt>
                <c:pt idx="161">
                  <c:v>107.26862139153714</c:v>
                </c:pt>
                <c:pt idx="162">
                  <c:v>106.26707718554653</c:v>
                </c:pt>
                <c:pt idx="163">
                  <c:v>105.15880949524836</c:v>
                </c:pt>
                <c:pt idx="164">
                  <c:v>105.02885627840644</c:v>
                </c:pt>
                <c:pt idx="165">
                  <c:v>106.88447397032306</c:v>
                </c:pt>
                <c:pt idx="166">
                  <c:v>107.71341364727745</c:v>
                </c:pt>
                <c:pt idx="167">
                  <c:v>107.52062590800644</c:v>
                </c:pt>
                <c:pt idx="168">
                  <c:v>107.27461923231445</c:v>
                </c:pt>
                <c:pt idx="169">
                  <c:v>107.91734023370634</c:v>
                </c:pt>
                <c:pt idx="170">
                  <c:v>107.77301123976319</c:v>
                </c:pt>
                <c:pt idx="171">
                  <c:v>107.4763561308405</c:v>
                </c:pt>
                <c:pt idx="172">
                  <c:v>107.32783816873544</c:v>
                </c:pt>
                <c:pt idx="173">
                  <c:v>107.8874462336416</c:v>
                </c:pt>
                <c:pt idx="174">
                  <c:v>108.88784799376985</c:v>
                </c:pt>
                <c:pt idx="175">
                  <c:v>108.6942034201021</c:v>
                </c:pt>
                <c:pt idx="176">
                  <c:v>108.12240926599756</c:v>
                </c:pt>
                <c:pt idx="177">
                  <c:v>108.73314178324374</c:v>
                </c:pt>
                <c:pt idx="178">
                  <c:v>108.87708996189942</c:v>
                </c:pt>
                <c:pt idx="179">
                  <c:v>109.44288627522663</c:v>
                </c:pt>
                <c:pt idx="180">
                  <c:v>109.20183019827148</c:v>
                </c:pt>
                <c:pt idx="181">
                  <c:v>109.31302826220654</c:v>
                </c:pt>
                <c:pt idx="182">
                  <c:v>110.00525525096678</c:v>
                </c:pt>
                <c:pt idx="183">
                  <c:v>108.52483582100918</c:v>
                </c:pt>
                <c:pt idx="184">
                  <c:v>107.78167478755265</c:v>
                </c:pt>
                <c:pt idx="185">
                  <c:v>106.9536871488169</c:v>
                </c:pt>
                <c:pt idx="186">
                  <c:v>107.19902739775587</c:v>
                </c:pt>
                <c:pt idx="187">
                  <c:v>108.32500299892038</c:v>
                </c:pt>
                <c:pt idx="188">
                  <c:v>108.62708472568923</c:v>
                </c:pt>
                <c:pt idx="189">
                  <c:v>108.79312019101694</c:v>
                </c:pt>
                <c:pt idx="190">
                  <c:v>109.67765889993886</c:v>
                </c:pt>
                <c:pt idx="191">
                  <c:v>109.55655963853013</c:v>
                </c:pt>
                <c:pt idx="192">
                  <c:v>108.47685309479063</c:v>
                </c:pt>
                <c:pt idx="193">
                  <c:v>109.09177458019875</c:v>
                </c:pt>
                <c:pt idx="194">
                  <c:v>109.4963908231132</c:v>
                </c:pt>
                <c:pt idx="195">
                  <c:v>111.07249009404232</c:v>
                </c:pt>
                <c:pt idx="196">
                  <c:v>111.93894007681044</c:v>
                </c:pt>
                <c:pt idx="197">
                  <c:v>111.38466342592857</c:v>
                </c:pt>
                <c:pt idx="198">
                  <c:v>111.76062331846248</c:v>
                </c:pt>
                <c:pt idx="199">
                  <c:v>113.07072311110858</c:v>
                </c:pt>
                <c:pt idx="200">
                  <c:v>113.60300767914026</c:v>
                </c:pt>
                <c:pt idx="201">
                  <c:v>113.62737985753699</c:v>
                </c:pt>
                <c:pt idx="202">
                  <c:v>114.79334106388366</c:v>
                </c:pt>
                <c:pt idx="203">
                  <c:v>115.80107351829531</c:v>
                </c:pt>
                <c:pt idx="204">
                  <c:v>116.58574341808377</c:v>
                </c:pt>
                <c:pt idx="205">
                  <c:v>116.22511134086966</c:v>
                </c:pt>
                <c:pt idx="206">
                  <c:v>116.38552978070751</c:v>
                </c:pt>
                <c:pt idx="207">
                  <c:v>117.78131301302959</c:v>
                </c:pt>
                <c:pt idx="208">
                  <c:v>115.65902941607686</c:v>
                </c:pt>
                <c:pt idx="209">
                  <c:v>116.52157604214864</c:v>
                </c:pt>
                <c:pt idx="210">
                  <c:v>117.93002138277839</c:v>
                </c:pt>
                <c:pt idx="211">
                  <c:v>117.2618809609493</c:v>
                </c:pt>
                <c:pt idx="212">
                  <c:v>116.4243729400273</c:v>
                </c:pt>
                <c:pt idx="213">
                  <c:v>116.1892195000276</c:v>
                </c:pt>
                <c:pt idx="214">
                  <c:v>115.93055071602794</c:v>
                </c:pt>
                <c:pt idx="215">
                  <c:v>116.16360967194666</c:v>
                </c:pt>
                <c:pt idx="216">
                  <c:v>115.37827334540518</c:v>
                </c:pt>
                <c:pt idx="217">
                  <c:v>113.75019278773925</c:v>
                </c:pt>
                <c:pt idx="218">
                  <c:v>115.09942135117073</c:v>
                </c:pt>
                <c:pt idx="219">
                  <c:v>114.50849122887188</c:v>
                </c:pt>
                <c:pt idx="220">
                  <c:v>115.00193263758378</c:v>
                </c:pt>
                <c:pt idx="221">
                  <c:v>114.94509595593205</c:v>
                </c:pt>
                <c:pt idx="222">
                  <c:v>115.34714169565621</c:v>
                </c:pt>
                <c:pt idx="223">
                  <c:v>116.15161399039202</c:v>
                </c:pt>
                <c:pt idx="224">
                  <c:v>116.23967752561457</c:v>
                </c:pt>
                <c:pt idx="225">
                  <c:v>115.63275316124289</c:v>
                </c:pt>
                <c:pt idx="226">
                  <c:v>115.88066391337213</c:v>
                </c:pt>
                <c:pt idx="227">
                  <c:v>114.90301586666894</c:v>
                </c:pt>
                <c:pt idx="228">
                  <c:v>115.02421033189955</c:v>
                </c:pt>
                <c:pt idx="229">
                  <c:v>114.87093217870139</c:v>
                </c:pt>
                <c:pt idx="230">
                  <c:v>114.37606271266152</c:v>
                </c:pt>
                <c:pt idx="231">
                  <c:v>114.1699464383298</c:v>
                </c:pt>
                <c:pt idx="232">
                  <c:v>114.6690048725316</c:v>
                </c:pt>
                <c:pt idx="233">
                  <c:v>114.50458787217552</c:v>
                </c:pt>
                <c:pt idx="234">
                  <c:v>111.59163653465704</c:v>
                </c:pt>
                <c:pt idx="235">
                  <c:v>111.96369307049461</c:v>
                </c:pt>
                <c:pt idx="236">
                  <c:v>109.69536681080525</c:v>
                </c:pt>
                <c:pt idx="237">
                  <c:v>109.49581960018202</c:v>
                </c:pt>
                <c:pt idx="238">
                  <c:v>108.79902282797241</c:v>
                </c:pt>
                <c:pt idx="239">
                  <c:v>109.81551403399538</c:v>
                </c:pt>
                <c:pt idx="240">
                  <c:v>110.04857298991411</c:v>
                </c:pt>
                <c:pt idx="241">
                  <c:v>111.56802598683522</c:v>
                </c:pt>
                <c:pt idx="242">
                  <c:v>111.81498470074582</c:v>
                </c:pt>
                <c:pt idx="243">
                  <c:v>111.07229968639859</c:v>
                </c:pt>
                <c:pt idx="244">
                  <c:v>111.28860276966958</c:v>
                </c:pt>
                <c:pt idx="245">
                  <c:v>111.64076170673796</c:v>
                </c:pt>
                <c:pt idx="246">
                  <c:v>110.64854747528985</c:v>
                </c:pt>
                <c:pt idx="247">
                  <c:v>110.41882065313628</c:v>
                </c:pt>
                <c:pt idx="248">
                  <c:v>112.42362273391102</c:v>
                </c:pt>
                <c:pt idx="249">
                  <c:v>111.71168855402532</c:v>
                </c:pt>
                <c:pt idx="250">
                  <c:v>110.16719695195442</c:v>
                </c:pt>
                <c:pt idx="251">
                  <c:v>111.50033606949117</c:v>
                </c:pt>
                <c:pt idx="252">
                  <c:v>112.2414978226886</c:v>
                </c:pt>
                <c:pt idx="253">
                  <c:v>112.23407192458332</c:v>
                </c:pt>
                <c:pt idx="254">
                  <c:v>112.32508677828361</c:v>
                </c:pt>
                <c:pt idx="255">
                  <c:v>113.09947466531096</c:v>
                </c:pt>
                <c:pt idx="256">
                  <c:v>113.12594132778867</c:v>
                </c:pt>
                <c:pt idx="257">
                  <c:v>112.88336198968372</c:v>
                </c:pt>
                <c:pt idx="258">
                  <c:v>112.85879940364325</c:v>
                </c:pt>
                <c:pt idx="259">
                  <c:v>112.94619651211278</c:v>
                </c:pt>
              </c:numCache>
            </c:numRef>
          </c:val>
          <c:smooth val="0"/>
          <c:extLst>
            <c:ext xmlns:c16="http://schemas.microsoft.com/office/drawing/2014/chart" uri="{C3380CC4-5D6E-409C-BE32-E72D297353CC}">
              <c16:uniqueId val="{00000001-B7D3-4DA2-A4AC-F2EBA1791EFC}"/>
            </c:ext>
          </c:extLst>
        </c:ser>
        <c:ser>
          <c:idx val="1"/>
          <c:order val="1"/>
          <c:tx>
            <c:strRef>
              <c:f>Index_Chart!$E$1</c:f>
              <c:strCache>
                <c:ptCount val="1"/>
                <c:pt idx="0">
                  <c:v>NKRISHI</c:v>
                </c:pt>
              </c:strCache>
            </c:strRef>
          </c:tx>
          <c:spPr>
            <a:ln w="28575" cap="rnd">
              <a:solidFill>
                <a:schemeClr val="accent2"/>
              </a:solidFill>
              <a:round/>
            </a:ln>
            <a:effectLst/>
          </c:spPr>
          <c:marker>
            <c:symbol val="none"/>
          </c:marker>
          <c:dPt>
            <c:idx val="258"/>
            <c:marker>
              <c:symbol val="triangle"/>
              <c:size val="8"/>
              <c:spPr>
                <a:solidFill>
                  <a:srgbClr val="C00000"/>
                </a:solidFill>
                <a:ln w="9525">
                  <a:solidFill>
                    <a:schemeClr val="accent2"/>
                  </a:solidFill>
                </a:ln>
                <a:effectLst/>
              </c:spPr>
            </c:marker>
            <c:bubble3D val="0"/>
            <c:extLst>
              <c:ext xmlns:c16="http://schemas.microsoft.com/office/drawing/2014/chart" uri="{C3380CC4-5D6E-409C-BE32-E72D297353CC}">
                <c16:uniqueId val="{00000002-B7D3-4DA2-A4AC-F2EBA1791EFC}"/>
              </c:ext>
            </c:extLst>
          </c:dPt>
          <c:dLbls>
            <c:dLbl>
              <c:idx val="258"/>
              <c:layout>
                <c:manualLayout>
                  <c:x val="-6.9348102355616583E-3"/>
                  <c:y val="7.28939112347310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D3-4DA2-A4AC-F2EBA1791EF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Index_Chart!$A$2:$A$262</c:f>
              <c:numCache>
                <c:formatCode>d\-mmm\-yy</c:formatCode>
                <c:ptCount val="261"/>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44223</c:v>
                </c:pt>
                <c:pt idx="19">
                  <c:v>44224</c:v>
                </c:pt>
                <c:pt idx="20">
                  <c:v>44225</c:v>
                </c:pt>
                <c:pt idx="21">
                  <c:v>44228</c:v>
                </c:pt>
                <c:pt idx="22">
                  <c:v>44229</c:v>
                </c:pt>
                <c:pt idx="23">
                  <c:v>44230</c:v>
                </c:pt>
                <c:pt idx="24">
                  <c:v>44231</c:v>
                </c:pt>
                <c:pt idx="25">
                  <c:v>44232</c:v>
                </c:pt>
                <c:pt idx="26">
                  <c:v>44235</c:v>
                </c:pt>
                <c:pt idx="27">
                  <c:v>44236</c:v>
                </c:pt>
                <c:pt idx="28">
                  <c:v>44237</c:v>
                </c:pt>
                <c:pt idx="29">
                  <c:v>44238</c:v>
                </c:pt>
                <c:pt idx="30">
                  <c:v>44239</c:v>
                </c:pt>
                <c:pt idx="31">
                  <c:v>44242</c:v>
                </c:pt>
                <c:pt idx="32">
                  <c:v>44243</c:v>
                </c:pt>
                <c:pt idx="33">
                  <c:v>44244</c:v>
                </c:pt>
                <c:pt idx="34">
                  <c:v>44245</c:v>
                </c:pt>
                <c:pt idx="35">
                  <c:v>44246</c:v>
                </c:pt>
                <c:pt idx="36">
                  <c:v>44249</c:v>
                </c:pt>
                <c:pt idx="37">
                  <c:v>44250</c:v>
                </c:pt>
                <c:pt idx="38">
                  <c:v>44251</c:v>
                </c:pt>
                <c:pt idx="39">
                  <c:v>44252</c:v>
                </c:pt>
                <c:pt idx="40">
                  <c:v>44253</c:v>
                </c:pt>
                <c:pt idx="41">
                  <c:v>44256</c:v>
                </c:pt>
                <c:pt idx="42">
                  <c:v>44257</c:v>
                </c:pt>
                <c:pt idx="43">
                  <c:v>44258</c:v>
                </c:pt>
                <c:pt idx="44">
                  <c:v>44259</c:v>
                </c:pt>
                <c:pt idx="45">
                  <c:v>44260</c:v>
                </c:pt>
                <c:pt idx="46">
                  <c:v>44263</c:v>
                </c:pt>
                <c:pt idx="47">
                  <c:v>44264</c:v>
                </c:pt>
                <c:pt idx="48">
                  <c:v>44265</c:v>
                </c:pt>
                <c:pt idx="49">
                  <c:v>44266</c:v>
                </c:pt>
                <c:pt idx="50">
                  <c:v>44267</c:v>
                </c:pt>
                <c:pt idx="51">
                  <c:v>44270</c:v>
                </c:pt>
                <c:pt idx="52">
                  <c:v>44271</c:v>
                </c:pt>
                <c:pt idx="53">
                  <c:v>44272</c:v>
                </c:pt>
                <c:pt idx="54">
                  <c:v>44273</c:v>
                </c:pt>
                <c:pt idx="55">
                  <c:v>44274</c:v>
                </c:pt>
                <c:pt idx="56">
                  <c:v>44277</c:v>
                </c:pt>
                <c:pt idx="57">
                  <c:v>44278</c:v>
                </c:pt>
                <c:pt idx="58">
                  <c:v>44279</c:v>
                </c:pt>
                <c:pt idx="59">
                  <c:v>44280</c:v>
                </c:pt>
                <c:pt idx="60">
                  <c:v>44281</c:v>
                </c:pt>
                <c:pt idx="61">
                  <c:v>44284</c:v>
                </c:pt>
                <c:pt idx="62">
                  <c:v>44285</c:v>
                </c:pt>
                <c:pt idx="63">
                  <c:v>44286</c:v>
                </c:pt>
                <c:pt idx="64">
                  <c:v>44287</c:v>
                </c:pt>
                <c:pt idx="65">
                  <c:v>44291</c:v>
                </c:pt>
                <c:pt idx="66">
                  <c:v>44292</c:v>
                </c:pt>
                <c:pt idx="67">
                  <c:v>44293</c:v>
                </c:pt>
                <c:pt idx="68">
                  <c:v>44294</c:v>
                </c:pt>
                <c:pt idx="69">
                  <c:v>44295</c:v>
                </c:pt>
                <c:pt idx="70">
                  <c:v>44298</c:v>
                </c:pt>
                <c:pt idx="71">
                  <c:v>44299</c:v>
                </c:pt>
                <c:pt idx="72">
                  <c:v>44300</c:v>
                </c:pt>
                <c:pt idx="73">
                  <c:v>44301</c:v>
                </c:pt>
                <c:pt idx="74">
                  <c:v>44302</c:v>
                </c:pt>
                <c:pt idx="75">
                  <c:v>44305</c:v>
                </c:pt>
                <c:pt idx="76">
                  <c:v>44306</c:v>
                </c:pt>
                <c:pt idx="77">
                  <c:v>44307</c:v>
                </c:pt>
                <c:pt idx="78">
                  <c:v>44308</c:v>
                </c:pt>
                <c:pt idx="79">
                  <c:v>44309</c:v>
                </c:pt>
                <c:pt idx="80">
                  <c:v>44312</c:v>
                </c:pt>
                <c:pt idx="81">
                  <c:v>44313</c:v>
                </c:pt>
                <c:pt idx="82">
                  <c:v>44314</c:v>
                </c:pt>
                <c:pt idx="83">
                  <c:v>44315</c:v>
                </c:pt>
                <c:pt idx="84">
                  <c:v>44316</c:v>
                </c:pt>
                <c:pt idx="85">
                  <c:v>44319</c:v>
                </c:pt>
                <c:pt idx="86">
                  <c:v>44320</c:v>
                </c:pt>
                <c:pt idx="87">
                  <c:v>44321</c:v>
                </c:pt>
                <c:pt idx="88">
                  <c:v>44322</c:v>
                </c:pt>
                <c:pt idx="89">
                  <c:v>44323</c:v>
                </c:pt>
                <c:pt idx="90">
                  <c:v>44326</c:v>
                </c:pt>
                <c:pt idx="91">
                  <c:v>44327</c:v>
                </c:pt>
                <c:pt idx="92">
                  <c:v>44328</c:v>
                </c:pt>
                <c:pt idx="93">
                  <c:v>44329</c:v>
                </c:pt>
                <c:pt idx="94">
                  <c:v>44330</c:v>
                </c:pt>
                <c:pt idx="95">
                  <c:v>44333</c:v>
                </c:pt>
                <c:pt idx="96">
                  <c:v>44334</c:v>
                </c:pt>
                <c:pt idx="97">
                  <c:v>44335</c:v>
                </c:pt>
                <c:pt idx="98">
                  <c:v>44336</c:v>
                </c:pt>
                <c:pt idx="99">
                  <c:v>44337</c:v>
                </c:pt>
                <c:pt idx="100">
                  <c:v>44340</c:v>
                </c:pt>
                <c:pt idx="101">
                  <c:v>44341</c:v>
                </c:pt>
                <c:pt idx="102">
                  <c:v>44342</c:v>
                </c:pt>
                <c:pt idx="103">
                  <c:v>44343</c:v>
                </c:pt>
                <c:pt idx="104">
                  <c:v>44344</c:v>
                </c:pt>
                <c:pt idx="105">
                  <c:v>44347</c:v>
                </c:pt>
                <c:pt idx="106">
                  <c:v>44348</c:v>
                </c:pt>
                <c:pt idx="107">
                  <c:v>44349</c:v>
                </c:pt>
                <c:pt idx="108">
                  <c:v>44350</c:v>
                </c:pt>
                <c:pt idx="109">
                  <c:v>44351</c:v>
                </c:pt>
                <c:pt idx="110">
                  <c:v>44354</c:v>
                </c:pt>
                <c:pt idx="111">
                  <c:v>44355</c:v>
                </c:pt>
                <c:pt idx="112">
                  <c:v>44356</c:v>
                </c:pt>
                <c:pt idx="113">
                  <c:v>44357</c:v>
                </c:pt>
                <c:pt idx="114">
                  <c:v>44358</c:v>
                </c:pt>
                <c:pt idx="115">
                  <c:v>44361</c:v>
                </c:pt>
                <c:pt idx="116">
                  <c:v>44362</c:v>
                </c:pt>
                <c:pt idx="117">
                  <c:v>44363</c:v>
                </c:pt>
                <c:pt idx="118">
                  <c:v>44364</c:v>
                </c:pt>
                <c:pt idx="119">
                  <c:v>44365</c:v>
                </c:pt>
                <c:pt idx="120">
                  <c:v>44368</c:v>
                </c:pt>
                <c:pt idx="121">
                  <c:v>44369</c:v>
                </c:pt>
                <c:pt idx="122">
                  <c:v>44370</c:v>
                </c:pt>
                <c:pt idx="123">
                  <c:v>44371</c:v>
                </c:pt>
                <c:pt idx="124">
                  <c:v>44372</c:v>
                </c:pt>
                <c:pt idx="125">
                  <c:v>44375</c:v>
                </c:pt>
                <c:pt idx="126">
                  <c:v>44376</c:v>
                </c:pt>
                <c:pt idx="127">
                  <c:v>44377</c:v>
                </c:pt>
                <c:pt idx="128">
                  <c:v>44378</c:v>
                </c:pt>
                <c:pt idx="129">
                  <c:v>44379</c:v>
                </c:pt>
                <c:pt idx="130">
                  <c:v>44382</c:v>
                </c:pt>
                <c:pt idx="131">
                  <c:v>44383</c:v>
                </c:pt>
                <c:pt idx="132">
                  <c:v>44384</c:v>
                </c:pt>
                <c:pt idx="133">
                  <c:v>44385</c:v>
                </c:pt>
                <c:pt idx="134">
                  <c:v>44386</c:v>
                </c:pt>
                <c:pt idx="135">
                  <c:v>44389</c:v>
                </c:pt>
                <c:pt idx="136">
                  <c:v>44390</c:v>
                </c:pt>
                <c:pt idx="137">
                  <c:v>44391</c:v>
                </c:pt>
                <c:pt idx="138">
                  <c:v>44392</c:v>
                </c:pt>
                <c:pt idx="139">
                  <c:v>44393</c:v>
                </c:pt>
                <c:pt idx="140">
                  <c:v>44396</c:v>
                </c:pt>
                <c:pt idx="141">
                  <c:v>44397</c:v>
                </c:pt>
                <c:pt idx="142">
                  <c:v>44398</c:v>
                </c:pt>
                <c:pt idx="143">
                  <c:v>44399</c:v>
                </c:pt>
                <c:pt idx="144">
                  <c:v>44400</c:v>
                </c:pt>
                <c:pt idx="145">
                  <c:v>44403</c:v>
                </c:pt>
                <c:pt idx="146">
                  <c:v>44404</c:v>
                </c:pt>
                <c:pt idx="147">
                  <c:v>44405</c:v>
                </c:pt>
                <c:pt idx="148">
                  <c:v>44406</c:v>
                </c:pt>
                <c:pt idx="149">
                  <c:v>44407</c:v>
                </c:pt>
                <c:pt idx="150">
                  <c:v>44410</c:v>
                </c:pt>
                <c:pt idx="151">
                  <c:v>44411</c:v>
                </c:pt>
                <c:pt idx="152">
                  <c:v>44412</c:v>
                </c:pt>
                <c:pt idx="153">
                  <c:v>44413</c:v>
                </c:pt>
                <c:pt idx="154">
                  <c:v>44414</c:v>
                </c:pt>
                <c:pt idx="155">
                  <c:v>44417</c:v>
                </c:pt>
                <c:pt idx="156">
                  <c:v>44418</c:v>
                </c:pt>
                <c:pt idx="157">
                  <c:v>44419</c:v>
                </c:pt>
                <c:pt idx="158">
                  <c:v>44420</c:v>
                </c:pt>
                <c:pt idx="159">
                  <c:v>44421</c:v>
                </c:pt>
                <c:pt idx="160">
                  <c:v>44424</c:v>
                </c:pt>
                <c:pt idx="161">
                  <c:v>44425</c:v>
                </c:pt>
                <c:pt idx="162">
                  <c:v>44426</c:v>
                </c:pt>
                <c:pt idx="163">
                  <c:v>44427</c:v>
                </c:pt>
                <c:pt idx="164">
                  <c:v>44428</c:v>
                </c:pt>
                <c:pt idx="165">
                  <c:v>44431</c:v>
                </c:pt>
                <c:pt idx="166">
                  <c:v>44432</c:v>
                </c:pt>
                <c:pt idx="167">
                  <c:v>44433</c:v>
                </c:pt>
                <c:pt idx="168">
                  <c:v>44434</c:v>
                </c:pt>
                <c:pt idx="169">
                  <c:v>44435</c:v>
                </c:pt>
                <c:pt idx="170">
                  <c:v>44438</c:v>
                </c:pt>
                <c:pt idx="171">
                  <c:v>44439</c:v>
                </c:pt>
                <c:pt idx="172">
                  <c:v>44440</c:v>
                </c:pt>
                <c:pt idx="173">
                  <c:v>44441</c:v>
                </c:pt>
                <c:pt idx="174">
                  <c:v>44442</c:v>
                </c:pt>
                <c:pt idx="175">
                  <c:v>44445</c:v>
                </c:pt>
                <c:pt idx="176">
                  <c:v>44446</c:v>
                </c:pt>
                <c:pt idx="177">
                  <c:v>44447</c:v>
                </c:pt>
                <c:pt idx="178">
                  <c:v>44448</c:v>
                </c:pt>
                <c:pt idx="179">
                  <c:v>44449</c:v>
                </c:pt>
                <c:pt idx="180">
                  <c:v>44452</c:v>
                </c:pt>
                <c:pt idx="181">
                  <c:v>44453</c:v>
                </c:pt>
                <c:pt idx="182">
                  <c:v>44454</c:v>
                </c:pt>
                <c:pt idx="183">
                  <c:v>44455</c:v>
                </c:pt>
                <c:pt idx="184">
                  <c:v>44456</c:v>
                </c:pt>
                <c:pt idx="185">
                  <c:v>44459</c:v>
                </c:pt>
                <c:pt idx="186">
                  <c:v>44460</c:v>
                </c:pt>
                <c:pt idx="187">
                  <c:v>44461</c:v>
                </c:pt>
                <c:pt idx="188">
                  <c:v>44462</c:v>
                </c:pt>
                <c:pt idx="189">
                  <c:v>44463</c:v>
                </c:pt>
                <c:pt idx="190">
                  <c:v>44466</c:v>
                </c:pt>
                <c:pt idx="191">
                  <c:v>44467</c:v>
                </c:pt>
                <c:pt idx="192">
                  <c:v>44468</c:v>
                </c:pt>
                <c:pt idx="193">
                  <c:v>44469</c:v>
                </c:pt>
                <c:pt idx="194">
                  <c:v>44470</c:v>
                </c:pt>
                <c:pt idx="195">
                  <c:v>44473</c:v>
                </c:pt>
                <c:pt idx="196">
                  <c:v>44474</c:v>
                </c:pt>
                <c:pt idx="197">
                  <c:v>44475</c:v>
                </c:pt>
                <c:pt idx="198">
                  <c:v>44476</c:v>
                </c:pt>
                <c:pt idx="199">
                  <c:v>44477</c:v>
                </c:pt>
                <c:pt idx="200">
                  <c:v>44480</c:v>
                </c:pt>
                <c:pt idx="201">
                  <c:v>44481</c:v>
                </c:pt>
                <c:pt idx="202">
                  <c:v>44482</c:v>
                </c:pt>
                <c:pt idx="203">
                  <c:v>44483</c:v>
                </c:pt>
                <c:pt idx="204">
                  <c:v>44484</c:v>
                </c:pt>
                <c:pt idx="205">
                  <c:v>44487</c:v>
                </c:pt>
                <c:pt idx="206">
                  <c:v>44488</c:v>
                </c:pt>
                <c:pt idx="207">
                  <c:v>44489</c:v>
                </c:pt>
                <c:pt idx="208">
                  <c:v>44490</c:v>
                </c:pt>
                <c:pt idx="209">
                  <c:v>44491</c:v>
                </c:pt>
                <c:pt idx="210">
                  <c:v>44494</c:v>
                </c:pt>
                <c:pt idx="211">
                  <c:v>44495</c:v>
                </c:pt>
                <c:pt idx="212">
                  <c:v>44496</c:v>
                </c:pt>
                <c:pt idx="213">
                  <c:v>44497</c:v>
                </c:pt>
                <c:pt idx="214">
                  <c:v>44498</c:v>
                </c:pt>
                <c:pt idx="215">
                  <c:v>44501</c:v>
                </c:pt>
                <c:pt idx="216">
                  <c:v>44502</c:v>
                </c:pt>
                <c:pt idx="217">
                  <c:v>44503</c:v>
                </c:pt>
                <c:pt idx="218">
                  <c:v>44504</c:v>
                </c:pt>
                <c:pt idx="219">
                  <c:v>44505</c:v>
                </c:pt>
                <c:pt idx="220">
                  <c:v>44508</c:v>
                </c:pt>
                <c:pt idx="221">
                  <c:v>44509</c:v>
                </c:pt>
                <c:pt idx="222">
                  <c:v>44510</c:v>
                </c:pt>
                <c:pt idx="223">
                  <c:v>44511</c:v>
                </c:pt>
                <c:pt idx="224">
                  <c:v>44512</c:v>
                </c:pt>
                <c:pt idx="225">
                  <c:v>44515</c:v>
                </c:pt>
                <c:pt idx="226">
                  <c:v>44516</c:v>
                </c:pt>
                <c:pt idx="227">
                  <c:v>44517</c:v>
                </c:pt>
                <c:pt idx="228">
                  <c:v>44518</c:v>
                </c:pt>
                <c:pt idx="229">
                  <c:v>44519</c:v>
                </c:pt>
                <c:pt idx="230">
                  <c:v>44522</c:v>
                </c:pt>
                <c:pt idx="231">
                  <c:v>44523</c:v>
                </c:pt>
                <c:pt idx="232">
                  <c:v>44524</c:v>
                </c:pt>
                <c:pt idx="233">
                  <c:v>44525</c:v>
                </c:pt>
                <c:pt idx="234">
                  <c:v>44526</c:v>
                </c:pt>
                <c:pt idx="235">
                  <c:v>44529</c:v>
                </c:pt>
                <c:pt idx="236">
                  <c:v>44530</c:v>
                </c:pt>
                <c:pt idx="237">
                  <c:v>44531</c:v>
                </c:pt>
                <c:pt idx="238">
                  <c:v>44532</c:v>
                </c:pt>
                <c:pt idx="239">
                  <c:v>44533</c:v>
                </c:pt>
                <c:pt idx="240">
                  <c:v>44536</c:v>
                </c:pt>
                <c:pt idx="241">
                  <c:v>44537</c:v>
                </c:pt>
                <c:pt idx="242">
                  <c:v>44538</c:v>
                </c:pt>
                <c:pt idx="243">
                  <c:v>44539</c:v>
                </c:pt>
                <c:pt idx="244">
                  <c:v>44540</c:v>
                </c:pt>
                <c:pt idx="245">
                  <c:v>44543</c:v>
                </c:pt>
                <c:pt idx="246">
                  <c:v>44544</c:v>
                </c:pt>
                <c:pt idx="247">
                  <c:v>44545</c:v>
                </c:pt>
                <c:pt idx="248">
                  <c:v>44546</c:v>
                </c:pt>
                <c:pt idx="249">
                  <c:v>44547</c:v>
                </c:pt>
                <c:pt idx="250">
                  <c:v>44550</c:v>
                </c:pt>
                <c:pt idx="251">
                  <c:v>44551</c:v>
                </c:pt>
                <c:pt idx="252">
                  <c:v>44552</c:v>
                </c:pt>
                <c:pt idx="253">
                  <c:v>44553</c:v>
                </c:pt>
                <c:pt idx="254">
                  <c:v>44554</c:v>
                </c:pt>
                <c:pt idx="255">
                  <c:v>44557</c:v>
                </c:pt>
                <c:pt idx="256">
                  <c:v>44558</c:v>
                </c:pt>
                <c:pt idx="257">
                  <c:v>44559</c:v>
                </c:pt>
                <c:pt idx="258">
                  <c:v>44560</c:v>
                </c:pt>
                <c:pt idx="259">
                  <c:v>44561</c:v>
                </c:pt>
              </c:numCache>
            </c:numRef>
          </c:cat>
          <c:val>
            <c:numRef>
              <c:f>Index_Chart!$E$2:$E$262</c:f>
              <c:numCache>
                <c:formatCode>_(* #,##0.00_);_(* \(#,##0.00\);_(* "-"??_);_(@_)</c:formatCode>
                <c:ptCount val="261"/>
                <c:pt idx="0">
                  <c:v>100</c:v>
                </c:pt>
                <c:pt idx="1">
                  <c:v>100.9699918985491</c:v>
                </c:pt>
                <c:pt idx="2">
                  <c:v>103.82841290667511</c:v>
                </c:pt>
                <c:pt idx="3">
                  <c:v>102.57664327156772</c:v>
                </c:pt>
                <c:pt idx="4">
                  <c:v>102.94980100981721</c:v>
                </c:pt>
                <c:pt idx="5">
                  <c:v>102.15329472641919</c:v>
                </c:pt>
                <c:pt idx="6">
                  <c:v>102.86660429185955</c:v>
                </c:pt>
                <c:pt idx="7">
                  <c:v>102.07228021745711</c:v>
                </c:pt>
                <c:pt idx="8">
                  <c:v>101.55864277511517</c:v>
                </c:pt>
                <c:pt idx="9">
                  <c:v>101.31341703923337</c:v>
                </c:pt>
                <c:pt idx="10">
                  <c:v>100.64456998207861</c:v>
                </c:pt>
                <c:pt idx="11">
                  <c:v>100.47299379979869</c:v>
                </c:pt>
                <c:pt idx="12">
                  <c:v>100.75204377511244</c:v>
                </c:pt>
                <c:pt idx="13">
                  <c:v>100.23458746702818</c:v>
                </c:pt>
                <c:pt idx="14">
                  <c:v>99.803601190395</c:v>
                </c:pt>
                <c:pt idx="15">
                  <c:v>100.66120932567013</c:v>
                </c:pt>
                <c:pt idx="16">
                  <c:v>100.64975272844319</c:v>
                </c:pt>
                <c:pt idx="17">
                  <c:v>99.437262855256805</c:v>
                </c:pt>
                <c:pt idx="18">
                  <c:v>100.03955253804544</c:v>
                </c:pt>
                <c:pt idx="19">
                  <c:v>100.93125768887701</c:v>
                </c:pt>
                <c:pt idx="20">
                  <c:v>101.14593249882024</c:v>
                </c:pt>
                <c:pt idx="21">
                  <c:v>100.62274789212249</c:v>
                </c:pt>
                <c:pt idx="22">
                  <c:v>101.25340629185409</c:v>
                </c:pt>
                <c:pt idx="23">
                  <c:v>101.45798838519262</c:v>
                </c:pt>
                <c:pt idx="24">
                  <c:v>103.14592704329775</c:v>
                </c:pt>
                <c:pt idx="25">
                  <c:v>103.57773164830428</c:v>
                </c:pt>
                <c:pt idx="26">
                  <c:v>103.40615546602436</c:v>
                </c:pt>
                <c:pt idx="27">
                  <c:v>103.9405238938246</c:v>
                </c:pt>
                <c:pt idx="28">
                  <c:v>103.31995821069772</c:v>
                </c:pt>
                <c:pt idx="29">
                  <c:v>102.97135032364886</c:v>
                </c:pt>
                <c:pt idx="30">
                  <c:v>103.24412644810023</c:v>
                </c:pt>
                <c:pt idx="31">
                  <c:v>103.60664591749614</c:v>
                </c:pt>
                <c:pt idx="32">
                  <c:v>104.71138922152421</c:v>
                </c:pt>
                <c:pt idx="33">
                  <c:v>105.10064075111633</c:v>
                </c:pt>
                <c:pt idx="34">
                  <c:v>104.50735268043458</c:v>
                </c:pt>
                <c:pt idx="35">
                  <c:v>103.85678162361805</c:v>
                </c:pt>
                <c:pt idx="36">
                  <c:v>104.15983589788354</c:v>
                </c:pt>
                <c:pt idx="37">
                  <c:v>104.69256766893706</c:v>
                </c:pt>
                <c:pt idx="38">
                  <c:v>104.88378373217748</c:v>
                </c:pt>
                <c:pt idx="39">
                  <c:v>107.47188360097218</c:v>
                </c:pt>
                <c:pt idx="40">
                  <c:v>106.39987343187825</c:v>
                </c:pt>
                <c:pt idx="41">
                  <c:v>108.17046325569216</c:v>
                </c:pt>
                <c:pt idx="42">
                  <c:v>108.13691179238462</c:v>
                </c:pt>
                <c:pt idx="43">
                  <c:v>108.79048338657013</c:v>
                </c:pt>
                <c:pt idx="44">
                  <c:v>107.2623915373935</c:v>
                </c:pt>
                <c:pt idx="45">
                  <c:v>108.39223024487113</c:v>
                </c:pt>
                <c:pt idx="46">
                  <c:v>109.02043365948263</c:v>
                </c:pt>
                <c:pt idx="47">
                  <c:v>110.03570639469069</c:v>
                </c:pt>
                <c:pt idx="48">
                  <c:v>110.74737930338434</c:v>
                </c:pt>
                <c:pt idx="49">
                  <c:v>110.74737930338434</c:v>
                </c:pt>
                <c:pt idx="50">
                  <c:v>111.66172487254535</c:v>
                </c:pt>
                <c:pt idx="51">
                  <c:v>113.58670598279875</c:v>
                </c:pt>
                <c:pt idx="52">
                  <c:v>113.30329158949375</c:v>
                </c:pt>
                <c:pt idx="53">
                  <c:v>112.26810619720078</c:v>
                </c:pt>
                <c:pt idx="54">
                  <c:v>110.93968647112256</c:v>
                </c:pt>
                <c:pt idx="55">
                  <c:v>110.42632180490506</c:v>
                </c:pt>
                <c:pt idx="56">
                  <c:v>113.05261033112295</c:v>
                </c:pt>
                <c:pt idx="57">
                  <c:v>113.05342865949628</c:v>
                </c:pt>
                <c:pt idx="58">
                  <c:v>112.58779981505778</c:v>
                </c:pt>
                <c:pt idx="59">
                  <c:v>113.48305105550722</c:v>
                </c:pt>
                <c:pt idx="60">
                  <c:v>114.01441894593849</c:v>
                </c:pt>
                <c:pt idx="61">
                  <c:v>114.01441894593849</c:v>
                </c:pt>
                <c:pt idx="62">
                  <c:v>115.13798380255373</c:v>
                </c:pt>
                <c:pt idx="63">
                  <c:v>115.20808726653773</c:v>
                </c:pt>
                <c:pt idx="64">
                  <c:v>116.77409499701309</c:v>
                </c:pt>
                <c:pt idx="65">
                  <c:v>120.94702414887031</c:v>
                </c:pt>
                <c:pt idx="66">
                  <c:v>121.78908404505171</c:v>
                </c:pt>
                <c:pt idx="67">
                  <c:v>120.98903167203581</c:v>
                </c:pt>
                <c:pt idx="68">
                  <c:v>122.22879915766731</c:v>
                </c:pt>
                <c:pt idx="69">
                  <c:v>123.82290282896118</c:v>
                </c:pt>
                <c:pt idx="70">
                  <c:v>127.77542887226167</c:v>
                </c:pt>
                <c:pt idx="71">
                  <c:v>126.41754932474269</c:v>
                </c:pt>
                <c:pt idx="72">
                  <c:v>126.41754932474269</c:v>
                </c:pt>
                <c:pt idx="73">
                  <c:v>131.34006726659226</c:v>
                </c:pt>
                <c:pt idx="74">
                  <c:v>132.49609248201722</c:v>
                </c:pt>
                <c:pt idx="75">
                  <c:v>134.27541114181358</c:v>
                </c:pt>
                <c:pt idx="76">
                  <c:v>134.741585538501</c:v>
                </c:pt>
                <c:pt idx="77">
                  <c:v>134.741585538501</c:v>
                </c:pt>
                <c:pt idx="78">
                  <c:v>136.4044287931566</c:v>
                </c:pt>
                <c:pt idx="79">
                  <c:v>132.76341308397957</c:v>
                </c:pt>
                <c:pt idx="80">
                  <c:v>126.82725906366868</c:v>
                </c:pt>
                <c:pt idx="81">
                  <c:v>130.57902187937293</c:v>
                </c:pt>
                <c:pt idx="82">
                  <c:v>128.41127001835781</c:v>
                </c:pt>
                <c:pt idx="83">
                  <c:v>129.47755188883826</c:v>
                </c:pt>
                <c:pt idx="84">
                  <c:v>128.51328828890266</c:v>
                </c:pt>
                <c:pt idx="85">
                  <c:v>127.68841328856166</c:v>
                </c:pt>
                <c:pt idx="86">
                  <c:v>129.63439816039781</c:v>
                </c:pt>
                <c:pt idx="87">
                  <c:v>130.99609657365909</c:v>
                </c:pt>
                <c:pt idx="88">
                  <c:v>132.57274257298806</c:v>
                </c:pt>
                <c:pt idx="89">
                  <c:v>133.05473798489365</c:v>
                </c:pt>
                <c:pt idx="90">
                  <c:v>134.9928123491207</c:v>
                </c:pt>
                <c:pt idx="91">
                  <c:v>135.13056429196862</c:v>
                </c:pt>
                <c:pt idx="92">
                  <c:v>134.88097413809564</c:v>
                </c:pt>
                <c:pt idx="93">
                  <c:v>134.88097413809564</c:v>
                </c:pt>
                <c:pt idx="94">
                  <c:v>133.17612336027452</c:v>
                </c:pt>
                <c:pt idx="95">
                  <c:v>133.0220048499595</c:v>
                </c:pt>
                <c:pt idx="96">
                  <c:v>132.31278692638591</c:v>
                </c:pt>
                <c:pt idx="97">
                  <c:v>131.76723467748315</c:v>
                </c:pt>
                <c:pt idx="98">
                  <c:v>129.44727373902415</c:v>
                </c:pt>
                <c:pt idx="99">
                  <c:v>128.69031999367161</c:v>
                </c:pt>
                <c:pt idx="100">
                  <c:v>129.42817941031257</c:v>
                </c:pt>
                <c:pt idx="101">
                  <c:v>130.44972599638299</c:v>
                </c:pt>
                <c:pt idx="102">
                  <c:v>129.90008210561342</c:v>
                </c:pt>
                <c:pt idx="103">
                  <c:v>129.57138687564955</c:v>
                </c:pt>
                <c:pt idx="104">
                  <c:v>129.73914419218713</c:v>
                </c:pt>
                <c:pt idx="105">
                  <c:v>129.32179672177654</c:v>
                </c:pt>
                <c:pt idx="106">
                  <c:v>129.51955941200376</c:v>
                </c:pt>
                <c:pt idx="107">
                  <c:v>130.93935913977322</c:v>
                </c:pt>
                <c:pt idx="108">
                  <c:v>130.73886868830144</c:v>
                </c:pt>
                <c:pt idx="109">
                  <c:v>129.32179672177654</c:v>
                </c:pt>
                <c:pt idx="110">
                  <c:v>132.02500811508969</c:v>
                </c:pt>
                <c:pt idx="111">
                  <c:v>131.34988720707256</c:v>
                </c:pt>
                <c:pt idx="112">
                  <c:v>130.16603882695355</c:v>
                </c:pt>
                <c:pt idx="113">
                  <c:v>128.30843341943967</c:v>
                </c:pt>
                <c:pt idx="114">
                  <c:v>126.37308681645713</c:v>
                </c:pt>
                <c:pt idx="115">
                  <c:v>124.88645693819711</c:v>
                </c:pt>
                <c:pt idx="116">
                  <c:v>126.36217577147906</c:v>
                </c:pt>
                <c:pt idx="117">
                  <c:v>126.34717308463424</c:v>
                </c:pt>
                <c:pt idx="118">
                  <c:v>125.41427873901053</c:v>
                </c:pt>
                <c:pt idx="119">
                  <c:v>124.57276439507802</c:v>
                </c:pt>
                <c:pt idx="120">
                  <c:v>128.27160864263871</c:v>
                </c:pt>
                <c:pt idx="121">
                  <c:v>129.86052956756799</c:v>
                </c:pt>
                <c:pt idx="122">
                  <c:v>129.11994238968251</c:v>
                </c:pt>
                <c:pt idx="123">
                  <c:v>128.46527969099921</c:v>
                </c:pt>
                <c:pt idx="124">
                  <c:v>128.67531730682674</c:v>
                </c:pt>
                <c:pt idx="125">
                  <c:v>128.06839042992243</c:v>
                </c:pt>
                <c:pt idx="126">
                  <c:v>129.42545164906804</c:v>
                </c:pt>
                <c:pt idx="127">
                  <c:v>129.10084806097092</c:v>
                </c:pt>
                <c:pt idx="128">
                  <c:v>130.4620009219833</c:v>
                </c:pt>
                <c:pt idx="129">
                  <c:v>132.27868991082948</c:v>
                </c:pt>
                <c:pt idx="130">
                  <c:v>131.00618929026379</c:v>
                </c:pt>
                <c:pt idx="131">
                  <c:v>130.23832449993319</c:v>
                </c:pt>
                <c:pt idx="132">
                  <c:v>130.15785554322002</c:v>
                </c:pt>
                <c:pt idx="133">
                  <c:v>128.78851939847408</c:v>
                </c:pt>
                <c:pt idx="134">
                  <c:v>129.87826001565733</c:v>
                </c:pt>
                <c:pt idx="135">
                  <c:v>130.46472868322783</c:v>
                </c:pt>
                <c:pt idx="136">
                  <c:v>131.64448542148003</c:v>
                </c:pt>
                <c:pt idx="137">
                  <c:v>131.85997855979662</c:v>
                </c:pt>
                <c:pt idx="138">
                  <c:v>132.75468424799715</c:v>
                </c:pt>
                <c:pt idx="139">
                  <c:v>133.94126038936062</c:v>
                </c:pt>
                <c:pt idx="140">
                  <c:v>134.29041382865842</c:v>
                </c:pt>
                <c:pt idx="141">
                  <c:v>136.10301117563782</c:v>
                </c:pt>
                <c:pt idx="142">
                  <c:v>135.71021355642782</c:v>
                </c:pt>
                <c:pt idx="143">
                  <c:v>135.9161595303886</c:v>
                </c:pt>
                <c:pt idx="144">
                  <c:v>137.14365209041981</c:v>
                </c:pt>
                <c:pt idx="145">
                  <c:v>137.90742523888369</c:v>
                </c:pt>
                <c:pt idx="146">
                  <c:v>136.87633148845745</c:v>
                </c:pt>
                <c:pt idx="147">
                  <c:v>137.15183537415336</c:v>
                </c:pt>
                <c:pt idx="148">
                  <c:v>139.44315481954496</c:v>
                </c:pt>
                <c:pt idx="149">
                  <c:v>139.31631392167506</c:v>
                </c:pt>
                <c:pt idx="150">
                  <c:v>138.43661092031937</c:v>
                </c:pt>
                <c:pt idx="151">
                  <c:v>138.60300435623469</c:v>
                </c:pt>
                <c:pt idx="152">
                  <c:v>139.52498765688034</c:v>
                </c:pt>
                <c:pt idx="153">
                  <c:v>139.45815750638977</c:v>
                </c:pt>
                <c:pt idx="154">
                  <c:v>138.06563539106548</c:v>
                </c:pt>
                <c:pt idx="155">
                  <c:v>137.22957656962203</c:v>
                </c:pt>
                <c:pt idx="156">
                  <c:v>136.65401894702961</c:v>
                </c:pt>
                <c:pt idx="157">
                  <c:v>138.5116243545435</c:v>
                </c:pt>
                <c:pt idx="158">
                  <c:v>138.4161527109855</c:v>
                </c:pt>
                <c:pt idx="159">
                  <c:v>141.39214022875004</c:v>
                </c:pt>
                <c:pt idx="160">
                  <c:v>143.1842793663956</c:v>
                </c:pt>
                <c:pt idx="161">
                  <c:v>140.89432380162629</c:v>
                </c:pt>
                <c:pt idx="162">
                  <c:v>142.26502382699445</c:v>
                </c:pt>
                <c:pt idx="163">
                  <c:v>142.19546591525935</c:v>
                </c:pt>
                <c:pt idx="164">
                  <c:v>143.98078564979363</c:v>
                </c:pt>
                <c:pt idx="165">
                  <c:v>145.49060149863203</c:v>
                </c:pt>
                <c:pt idx="166">
                  <c:v>146.86539316586698</c:v>
                </c:pt>
                <c:pt idx="167">
                  <c:v>148.30701498359252</c:v>
                </c:pt>
                <c:pt idx="168">
                  <c:v>145.50560418547684</c:v>
                </c:pt>
                <c:pt idx="169">
                  <c:v>144.45814386758354</c:v>
                </c:pt>
                <c:pt idx="170">
                  <c:v>144.19355102686572</c:v>
                </c:pt>
                <c:pt idx="171">
                  <c:v>143.10108264843794</c:v>
                </c:pt>
                <c:pt idx="172">
                  <c:v>141.98542829943179</c:v>
                </c:pt>
                <c:pt idx="173">
                  <c:v>143.605718478673</c:v>
                </c:pt>
                <c:pt idx="174">
                  <c:v>143.13517966399436</c:v>
                </c:pt>
                <c:pt idx="175">
                  <c:v>143.64799877796295</c:v>
                </c:pt>
                <c:pt idx="176">
                  <c:v>144.86185253177158</c:v>
                </c:pt>
                <c:pt idx="177">
                  <c:v>145.51242358858815</c:v>
                </c:pt>
                <c:pt idx="178">
                  <c:v>146.06888688246892</c:v>
                </c:pt>
                <c:pt idx="179">
                  <c:v>145.67063374076994</c:v>
                </c:pt>
                <c:pt idx="180">
                  <c:v>144.21128147495506</c:v>
                </c:pt>
                <c:pt idx="181">
                  <c:v>143.07516891661504</c:v>
                </c:pt>
                <c:pt idx="182">
                  <c:v>142.79011786656338</c:v>
                </c:pt>
                <c:pt idx="183">
                  <c:v>143.13381578337211</c:v>
                </c:pt>
                <c:pt idx="184">
                  <c:v>141.55716978404314</c:v>
                </c:pt>
                <c:pt idx="185">
                  <c:v>140.34331603023449</c:v>
                </c:pt>
                <c:pt idx="186">
                  <c:v>141.39623187061682</c:v>
                </c:pt>
                <c:pt idx="187">
                  <c:v>141.05389783443033</c:v>
                </c:pt>
                <c:pt idx="188">
                  <c:v>142.02498083747724</c:v>
                </c:pt>
                <c:pt idx="189">
                  <c:v>141.48897575293029</c:v>
                </c:pt>
                <c:pt idx="190">
                  <c:v>141.40577903497262</c:v>
                </c:pt>
                <c:pt idx="191">
                  <c:v>141.09890589496482</c:v>
                </c:pt>
                <c:pt idx="192">
                  <c:v>142.59508293758063</c:v>
                </c:pt>
                <c:pt idx="193">
                  <c:v>142.21319636334871</c:v>
                </c:pt>
                <c:pt idx="194">
                  <c:v>140.70883603699934</c:v>
                </c:pt>
                <c:pt idx="195">
                  <c:v>140.3242217015229</c:v>
                </c:pt>
                <c:pt idx="196">
                  <c:v>142.02088919561049</c:v>
                </c:pt>
                <c:pt idx="197">
                  <c:v>143.81030057201153</c:v>
                </c:pt>
                <c:pt idx="198">
                  <c:v>142.25138502077189</c:v>
                </c:pt>
                <c:pt idx="199">
                  <c:v>142.14773009348036</c:v>
                </c:pt>
                <c:pt idx="200">
                  <c:v>141.40577903497262</c:v>
                </c:pt>
                <c:pt idx="201">
                  <c:v>141.53671157470927</c:v>
                </c:pt>
                <c:pt idx="202">
                  <c:v>139.46634079012333</c:v>
                </c:pt>
                <c:pt idx="203">
                  <c:v>139.34222765349796</c:v>
                </c:pt>
                <c:pt idx="204">
                  <c:v>139.34222765349796</c:v>
                </c:pt>
                <c:pt idx="205">
                  <c:v>142.86785906203201</c:v>
                </c:pt>
                <c:pt idx="206">
                  <c:v>141.55171426155411</c:v>
                </c:pt>
                <c:pt idx="207">
                  <c:v>142.14227457099133</c:v>
                </c:pt>
                <c:pt idx="208">
                  <c:v>142.63463547562608</c:v>
                </c:pt>
                <c:pt idx="209">
                  <c:v>143.33294235422161</c:v>
                </c:pt>
                <c:pt idx="210">
                  <c:v>143.33294235422161</c:v>
                </c:pt>
                <c:pt idx="211">
                  <c:v>143.52524952195981</c:v>
                </c:pt>
                <c:pt idx="212">
                  <c:v>146.17936121287173</c:v>
                </c:pt>
                <c:pt idx="213">
                  <c:v>145.47559881178717</c:v>
                </c:pt>
                <c:pt idx="214">
                  <c:v>145.82748001232949</c:v>
                </c:pt>
                <c:pt idx="215">
                  <c:v>146.175269571005</c:v>
                </c:pt>
                <c:pt idx="216">
                  <c:v>145.11962596937815</c:v>
                </c:pt>
                <c:pt idx="217">
                  <c:v>144.13490416010865</c:v>
                </c:pt>
                <c:pt idx="218">
                  <c:v>144.40631640393778</c:v>
                </c:pt>
                <c:pt idx="219">
                  <c:v>144.54952386927476</c:v>
                </c:pt>
                <c:pt idx="220">
                  <c:v>144.33539461158045</c:v>
                </c:pt>
                <c:pt idx="221">
                  <c:v>142.67146025242704</c:v>
                </c:pt>
                <c:pt idx="222">
                  <c:v>142.20092143774841</c:v>
                </c:pt>
                <c:pt idx="223">
                  <c:v>143.07653279723732</c:v>
                </c:pt>
                <c:pt idx="224">
                  <c:v>144.82639163559293</c:v>
                </c:pt>
                <c:pt idx="225">
                  <c:v>147.02360331804874</c:v>
                </c:pt>
                <c:pt idx="226">
                  <c:v>146.66217495315067</c:v>
                </c:pt>
                <c:pt idx="227">
                  <c:v>148.29883169985897</c:v>
                </c:pt>
                <c:pt idx="228">
                  <c:v>148.78710096262694</c:v>
                </c:pt>
                <c:pt idx="229">
                  <c:v>148.78710096262694</c:v>
                </c:pt>
                <c:pt idx="230">
                  <c:v>151.81491594403724</c:v>
                </c:pt>
                <c:pt idx="231">
                  <c:v>152.07541714288831</c:v>
                </c:pt>
                <c:pt idx="232">
                  <c:v>150.51104606915965</c:v>
                </c:pt>
                <c:pt idx="233">
                  <c:v>152.47503416520956</c:v>
                </c:pt>
                <c:pt idx="234">
                  <c:v>150.75927234241041</c:v>
                </c:pt>
                <c:pt idx="235">
                  <c:v>147.05633645298295</c:v>
                </c:pt>
                <c:pt idx="236">
                  <c:v>145.59425642592353</c:v>
                </c:pt>
                <c:pt idx="237">
                  <c:v>148.18426572758938</c:v>
                </c:pt>
                <c:pt idx="238">
                  <c:v>146.31165763323068</c:v>
                </c:pt>
                <c:pt idx="239">
                  <c:v>148.06424423283079</c:v>
                </c:pt>
                <c:pt idx="240">
                  <c:v>148.88257260618491</c:v>
                </c:pt>
                <c:pt idx="241">
                  <c:v>150.24781710906407</c:v>
                </c:pt>
                <c:pt idx="242">
                  <c:v>150.68698666943078</c:v>
                </c:pt>
                <c:pt idx="243">
                  <c:v>149.51268545366759</c:v>
                </c:pt>
                <c:pt idx="244">
                  <c:v>150.24918098968632</c:v>
                </c:pt>
                <c:pt idx="245">
                  <c:v>149.7881893393635</c:v>
                </c:pt>
                <c:pt idx="246">
                  <c:v>150.39920785813456</c:v>
                </c:pt>
                <c:pt idx="247">
                  <c:v>150.05278218008132</c:v>
                </c:pt>
                <c:pt idx="248">
                  <c:v>152.25408550440395</c:v>
                </c:pt>
                <c:pt idx="249">
                  <c:v>150.80018876107812</c:v>
                </c:pt>
                <c:pt idx="250">
                  <c:v>148.30565110297024</c:v>
                </c:pt>
                <c:pt idx="251">
                  <c:v>146.69218032684034</c:v>
                </c:pt>
                <c:pt idx="252">
                  <c:v>147.55688064135123</c:v>
                </c:pt>
                <c:pt idx="253">
                  <c:v>149.97913262647947</c:v>
                </c:pt>
                <c:pt idx="254">
                  <c:v>150.57105681653894</c:v>
                </c:pt>
                <c:pt idx="255">
                  <c:v>150.10733740497159</c:v>
                </c:pt>
                <c:pt idx="256">
                  <c:v>151.0443233924621</c:v>
                </c:pt>
                <c:pt idx="257">
                  <c:v>149.77864217500769</c:v>
                </c:pt>
                <c:pt idx="258">
                  <c:v>149.27673410601716</c:v>
                </c:pt>
                <c:pt idx="259">
                  <c:v>151.38938518989309</c:v>
                </c:pt>
              </c:numCache>
            </c:numRef>
          </c:val>
          <c:smooth val="0"/>
          <c:extLst>
            <c:ext xmlns:c16="http://schemas.microsoft.com/office/drawing/2014/chart" uri="{C3380CC4-5D6E-409C-BE32-E72D297353CC}">
              <c16:uniqueId val="{00000003-B7D3-4DA2-A4AC-F2EBA1791EFC}"/>
            </c:ext>
          </c:extLst>
        </c:ser>
        <c:dLbls>
          <c:showLegendKey val="0"/>
          <c:showVal val="0"/>
          <c:showCatName val="0"/>
          <c:showSerName val="0"/>
          <c:showPercent val="0"/>
          <c:showBubbleSize val="0"/>
        </c:dLbls>
        <c:smooth val="0"/>
        <c:axId val="136045568"/>
        <c:axId val="154307968"/>
      </c:lineChart>
      <c:dateAx>
        <c:axId val="136045568"/>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154307968"/>
        <c:crosses val="autoZero"/>
        <c:auto val="0"/>
        <c:lblOffset val="100"/>
        <c:baseTimeUnit val="days"/>
        <c:majorUnit val="1"/>
        <c:majorTimeUnit val="months"/>
      </c:dateAx>
      <c:valAx>
        <c:axId val="154307968"/>
        <c:scaling>
          <c:orientation val="minMax"/>
          <c:max val="160"/>
          <c:min val="90"/>
        </c:scaling>
        <c:delete val="0"/>
        <c:axPos val="l"/>
        <c:majorGridlines>
          <c:spPr>
            <a:ln w="9525" cap="flat" cmpd="sng" algn="ctr">
              <a:solidFill>
                <a:schemeClr val="tx2">
                  <a:lumMod val="20000"/>
                  <a:lumOff val="80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6045568"/>
        <c:crosses val="autoZero"/>
        <c:crossBetween val="between"/>
        <c:majorUnit val="10"/>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7619865186025"/>
          <c:y val="2.3414388003439247E-2"/>
          <c:w val="0.76753858775171901"/>
          <c:h val="0.71480391704760649"/>
        </c:manualLayout>
      </c:layout>
      <c:barChart>
        <c:barDir val="col"/>
        <c:grouping val="clustered"/>
        <c:varyColors val="0"/>
        <c:ser>
          <c:idx val="0"/>
          <c:order val="0"/>
          <c:tx>
            <c:strRef>
              <c:f>Exchange_Wise!$B$2</c:f>
              <c:strCache>
                <c:ptCount val="1"/>
                <c:pt idx="0">
                  <c:v>MCX (LHS)</c:v>
                </c:pt>
              </c:strCache>
            </c:strRef>
          </c:tx>
          <c:spPr>
            <a:solidFill>
              <a:srgbClr val="0070C0"/>
            </a:solidFill>
            <a:ln>
              <a:solidFill>
                <a:sysClr val="windowText" lastClr="000000"/>
              </a:solidFill>
            </a:ln>
            <a:effectLst/>
          </c:spPr>
          <c:invertIfNegative val="0"/>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Exchange_Wise!$B$10:$B$23</c:f>
              <c:numCache>
                <c:formatCode>#,##0</c:formatCode>
                <c:ptCount val="12"/>
                <c:pt idx="0">
                  <c:v>12653.105590599998</c:v>
                </c:pt>
                <c:pt idx="1">
                  <c:v>12289.256776399998</c:v>
                </c:pt>
                <c:pt idx="2">
                  <c:v>13909.001715000002</c:v>
                </c:pt>
                <c:pt idx="3">
                  <c:v>12916.562410199997</c:v>
                </c:pt>
                <c:pt idx="4">
                  <c:v>11052.727486600001</c:v>
                </c:pt>
                <c:pt idx="5">
                  <c:v>14355.171816799999</c:v>
                </c:pt>
                <c:pt idx="6">
                  <c:v>11349.876245600002</c:v>
                </c:pt>
                <c:pt idx="7">
                  <c:v>8532.1421754000003</c:v>
                </c:pt>
                <c:pt idx="8">
                  <c:v>7052.3174545999973</c:v>
                </c:pt>
                <c:pt idx="9">
                  <c:v>11519.986260800002</c:v>
                </c:pt>
                <c:pt idx="10">
                  <c:v>9454.1541869999965</c:v>
                </c:pt>
                <c:pt idx="11">
                  <c:v>7650.6343900000038</c:v>
                </c:pt>
              </c:numCache>
              <c:extLst/>
            </c:numRef>
          </c:val>
          <c:extLst>
            <c:ext xmlns:c16="http://schemas.microsoft.com/office/drawing/2014/chart" uri="{C3380CC4-5D6E-409C-BE32-E72D297353CC}">
              <c16:uniqueId val="{00000000-CD31-4410-A559-3361DFD5EA41}"/>
            </c:ext>
          </c:extLst>
        </c:ser>
        <c:ser>
          <c:idx val="1"/>
          <c:order val="1"/>
          <c:tx>
            <c:strRef>
              <c:f>Exchange_Wise!$C$2</c:f>
              <c:strCache>
                <c:ptCount val="1"/>
                <c:pt idx="0">
                  <c:v>NCDEX (LHS)</c:v>
                </c:pt>
              </c:strCache>
            </c:strRef>
          </c:tx>
          <c:spPr>
            <a:solidFill>
              <a:srgbClr val="00B050"/>
            </a:solidFill>
            <a:ln>
              <a:solidFill>
                <a:schemeClr val="accent3">
                  <a:lumMod val="75000"/>
                </a:schemeClr>
              </a:solidFill>
            </a:ln>
            <a:effectLst/>
          </c:spPr>
          <c:invertIfNegative val="0"/>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Exchange_Wise!$C$10:$C$23</c:f>
              <c:numCache>
                <c:formatCode>#,##0</c:formatCode>
                <c:ptCount val="12"/>
                <c:pt idx="0">
                  <c:v>32707.128794999986</c:v>
                </c:pt>
                <c:pt idx="1">
                  <c:v>30761.034117499996</c:v>
                </c:pt>
                <c:pt idx="2">
                  <c:v>43894.883412500007</c:v>
                </c:pt>
                <c:pt idx="3">
                  <c:v>55219.791669999999</c:v>
                </c:pt>
                <c:pt idx="4">
                  <c:v>42907.123429999992</c:v>
                </c:pt>
                <c:pt idx="5">
                  <c:v>42768.39502000004</c:v>
                </c:pt>
                <c:pt idx="6">
                  <c:v>45161.663549999997</c:v>
                </c:pt>
                <c:pt idx="7">
                  <c:v>51318.252049999966</c:v>
                </c:pt>
                <c:pt idx="8">
                  <c:v>39392.912937499997</c:v>
                </c:pt>
                <c:pt idx="9">
                  <c:v>39724.659449999999</c:v>
                </c:pt>
                <c:pt idx="10">
                  <c:v>37223.774999999994</c:v>
                </c:pt>
                <c:pt idx="11">
                  <c:v>30236.840000000004</c:v>
                </c:pt>
              </c:numCache>
              <c:extLst/>
            </c:numRef>
          </c:val>
          <c:extLst>
            <c:ext xmlns:c16="http://schemas.microsoft.com/office/drawing/2014/chart" uri="{C3380CC4-5D6E-409C-BE32-E72D297353CC}">
              <c16:uniqueId val="{00000001-CD31-4410-A559-3361DFD5EA41}"/>
            </c:ext>
          </c:extLst>
        </c:ser>
        <c:dLbls>
          <c:showLegendKey val="0"/>
          <c:showVal val="0"/>
          <c:showCatName val="0"/>
          <c:showSerName val="0"/>
          <c:showPercent val="0"/>
          <c:showBubbleSize val="0"/>
        </c:dLbls>
        <c:gapWidth val="219"/>
        <c:axId val="151029760"/>
        <c:axId val="154310848"/>
      </c:barChart>
      <c:lineChart>
        <c:grouping val="standard"/>
        <c:varyColors val="0"/>
        <c:ser>
          <c:idx val="2"/>
          <c:order val="2"/>
          <c:tx>
            <c:strRef>
              <c:f>Exchange_Wise!$D$2</c:f>
              <c:strCache>
                <c:ptCount val="1"/>
                <c:pt idx="0">
                  <c:v>ICEX (RHS)</c:v>
                </c:pt>
              </c:strCache>
            </c:strRef>
          </c:tx>
          <c:spPr>
            <a:ln w="28575" cap="rnd">
              <a:solidFill>
                <a:schemeClr val="accent6"/>
              </a:solidFill>
              <a:round/>
            </a:ln>
            <a:effectLst/>
          </c:spPr>
          <c:marker>
            <c:symbol val="x"/>
            <c:size val="10"/>
            <c:spPr>
              <a:noFill/>
              <a:ln w="9525">
                <a:solidFill>
                  <a:srgbClr val="C00000"/>
                </a:solidFill>
              </a:ln>
              <a:effectLst/>
            </c:spPr>
          </c:marker>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Exchange_Wise!$D$10:$D$23</c:f>
              <c:numCache>
                <c:formatCode>#,##0</c:formatCode>
                <c:ptCount val="12"/>
                <c:pt idx="0">
                  <c:v>2.819</c:v>
                </c:pt>
                <c:pt idx="1">
                  <c:v>2.5779999999999998</c:v>
                </c:pt>
                <c:pt idx="2">
                  <c:v>3.4738000000000002</c:v>
                </c:pt>
                <c:pt idx="3">
                  <c:v>2.9133100000000001</c:v>
                </c:pt>
                <c:pt idx="4">
                  <c:v>3.66</c:v>
                </c:pt>
                <c:pt idx="5">
                  <c:v>3.86</c:v>
                </c:pt>
                <c:pt idx="6">
                  <c:v>3.59</c:v>
                </c:pt>
                <c:pt idx="7">
                  <c:v>2.6280000000000001</c:v>
                </c:pt>
                <c:pt idx="8">
                  <c:v>2.08724</c:v>
                </c:pt>
                <c:pt idx="9">
                  <c:v>1.8464299999999998</c:v>
                </c:pt>
                <c:pt idx="10">
                  <c:v>1.2250000000000001</c:v>
                </c:pt>
                <c:pt idx="11">
                  <c:v>0.97</c:v>
                </c:pt>
              </c:numCache>
              <c:extLst/>
            </c:numRef>
          </c:val>
          <c:smooth val="0"/>
          <c:extLst>
            <c:ext xmlns:c16="http://schemas.microsoft.com/office/drawing/2014/chart" uri="{C3380CC4-5D6E-409C-BE32-E72D297353CC}">
              <c16:uniqueId val="{00000002-CD31-4410-A559-3361DFD5EA41}"/>
            </c:ext>
          </c:extLst>
        </c:ser>
        <c:ser>
          <c:idx val="3"/>
          <c:order val="3"/>
          <c:tx>
            <c:strRef>
              <c:f>Exchange_Wise!$E$2</c:f>
              <c:strCache>
                <c:ptCount val="1"/>
                <c:pt idx="0">
                  <c:v>BSE (RHS)</c:v>
                </c:pt>
              </c:strCache>
            </c:strRef>
          </c:tx>
          <c:spPr>
            <a:ln w="28575" cap="rnd">
              <a:solidFill>
                <a:schemeClr val="tx1"/>
              </a:solidFill>
              <a:round/>
            </a:ln>
            <a:effectLst/>
          </c:spPr>
          <c:marker>
            <c:symbol val="triangle"/>
            <c:size val="9"/>
            <c:spPr>
              <a:solidFill>
                <a:schemeClr val="accent4"/>
              </a:solidFill>
              <a:ln w="9525">
                <a:solidFill>
                  <a:schemeClr val="tx1"/>
                </a:solidFill>
              </a:ln>
              <a:effectLst/>
            </c:spPr>
          </c:marker>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Exchange_Wise!$E$10:$E$23</c:f>
              <c:numCache>
                <c:formatCode>#,##0</c:formatCode>
                <c:ptCount val="12"/>
                <c:pt idx="0">
                  <c:v>86.66</c:v>
                </c:pt>
                <c:pt idx="1">
                  <c:v>83.13</c:v>
                </c:pt>
                <c:pt idx="2">
                  <c:v>115.46</c:v>
                </c:pt>
                <c:pt idx="3">
                  <c:v>174.66</c:v>
                </c:pt>
                <c:pt idx="4">
                  <c:v>184.73</c:v>
                </c:pt>
                <c:pt idx="5">
                  <c:v>227.91</c:v>
                </c:pt>
                <c:pt idx="6">
                  <c:v>238.75</c:v>
                </c:pt>
                <c:pt idx="7">
                  <c:v>245.83</c:v>
                </c:pt>
                <c:pt idx="8">
                  <c:v>246.65</c:v>
                </c:pt>
                <c:pt idx="9">
                  <c:v>305.59800000000001</c:v>
                </c:pt>
                <c:pt idx="10">
                  <c:v>381.72</c:v>
                </c:pt>
                <c:pt idx="11">
                  <c:v>418.43</c:v>
                </c:pt>
              </c:numCache>
              <c:extLst/>
            </c:numRef>
          </c:val>
          <c:smooth val="0"/>
          <c:extLst>
            <c:ext xmlns:c16="http://schemas.microsoft.com/office/drawing/2014/chart" uri="{C3380CC4-5D6E-409C-BE32-E72D297353CC}">
              <c16:uniqueId val="{00000003-CD31-4410-A559-3361DFD5EA41}"/>
            </c:ext>
          </c:extLst>
        </c:ser>
        <c:ser>
          <c:idx val="4"/>
          <c:order val="4"/>
          <c:tx>
            <c:strRef>
              <c:f>Exchange_Wise!$F$2</c:f>
              <c:strCache>
                <c:ptCount val="1"/>
                <c:pt idx="0">
                  <c:v>NSE (RHS)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Exchange_Wise!$F$10:$F$23</c:f>
              <c:numCache>
                <c:formatCode>#,##0</c:formatCode>
                <c:ptCount val="12"/>
                <c:pt idx="0">
                  <c:v>826.19159999999999</c:v>
                </c:pt>
                <c:pt idx="1">
                  <c:v>920.27394000000004</c:v>
                </c:pt>
                <c:pt idx="2">
                  <c:v>1672.8383199999998</c:v>
                </c:pt>
                <c:pt idx="3">
                  <c:v>592.6947399999998</c:v>
                </c:pt>
                <c:pt idx="4">
                  <c:v>307.17788999999988</c:v>
                </c:pt>
                <c:pt idx="5">
                  <c:v>415</c:v>
                </c:pt>
                <c:pt idx="6">
                  <c:v>671.72671000000003</c:v>
                </c:pt>
                <c:pt idx="7">
                  <c:v>252.94460000000001</c:v>
                </c:pt>
                <c:pt idx="8">
                  <c:v>0</c:v>
                </c:pt>
                <c:pt idx="9">
                  <c:v>0</c:v>
                </c:pt>
                <c:pt idx="10">
                  <c:v>0</c:v>
                </c:pt>
                <c:pt idx="11">
                  <c:v>0</c:v>
                </c:pt>
              </c:numCache>
              <c:extLst/>
            </c:numRef>
          </c:val>
          <c:smooth val="0"/>
          <c:extLst>
            <c:ext xmlns:c16="http://schemas.microsoft.com/office/drawing/2014/chart" uri="{C3380CC4-5D6E-409C-BE32-E72D297353CC}">
              <c16:uniqueId val="{00000004-CD31-4410-A559-3361DFD5EA41}"/>
            </c:ext>
          </c:extLst>
        </c:ser>
        <c:dLbls>
          <c:showLegendKey val="0"/>
          <c:showVal val="0"/>
          <c:showCatName val="0"/>
          <c:showSerName val="0"/>
          <c:showPercent val="0"/>
          <c:showBubbleSize val="0"/>
        </c:dLbls>
        <c:marker val="1"/>
        <c:smooth val="0"/>
        <c:axId val="151030272"/>
        <c:axId val="154311424"/>
      </c:lineChart>
      <c:dateAx>
        <c:axId val="15102976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54310848"/>
        <c:crosses val="autoZero"/>
        <c:auto val="1"/>
        <c:lblOffset val="100"/>
        <c:baseTimeUnit val="months"/>
        <c:majorUnit val="1"/>
        <c:majorTimeUnit val="months"/>
      </c:dateAx>
      <c:valAx>
        <c:axId val="154310848"/>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Thousand</a:t>
                </a:r>
              </a:p>
              <a:p>
                <a:pPr>
                  <a:defRPr sz="900" b="0" i="0" u="none" strike="noStrike" kern="1200" baseline="0">
                    <a:solidFill>
                      <a:sysClr val="windowText" lastClr="000000"/>
                    </a:solidFill>
                    <a:latin typeface="Palatino Linotype" panose="02040502050505030304" pitchFamily="18" charset="0"/>
                    <a:ea typeface="+mn-ea"/>
                    <a:cs typeface="+mn-cs"/>
                  </a:defRPr>
                </a:pPr>
                <a:r>
                  <a:rPr lang="en-IN"/>
                  <a:t>crore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51029760"/>
        <c:crosses val="autoZero"/>
        <c:crossBetween val="between"/>
        <c:dispUnits>
          <c:builtInUnit val="thousands"/>
        </c:dispUnits>
      </c:valAx>
      <c:valAx>
        <c:axId val="154311424"/>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Thousands</a:t>
                </a:r>
              </a:p>
              <a:p>
                <a:pPr>
                  <a:defRPr sz="900" b="0" i="0" u="none" strike="noStrike" kern="1200" baseline="0">
                    <a:solidFill>
                      <a:sysClr val="windowText" lastClr="000000"/>
                    </a:solidFill>
                    <a:latin typeface="Palatino Linotype" panose="02040502050505030304" pitchFamily="18" charset="0"/>
                    <a:ea typeface="+mn-ea"/>
                    <a:cs typeface="+mn-cs"/>
                  </a:defRPr>
                </a:pPr>
                <a:r>
                  <a:rPr lang="en-IN"/>
                  <a:t>crore</a:t>
                </a:r>
              </a:p>
            </c:rich>
          </c:tx>
          <c:layout>
            <c:manualLayout>
              <c:xMode val="edge"/>
              <c:yMode val="edge"/>
              <c:x val="0.94137486573576801"/>
              <c:y val="0.38185595068831812"/>
            </c:manualLayout>
          </c:layout>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51030272"/>
        <c:crosses val="max"/>
        <c:crossBetween val="between"/>
        <c:majorUnit val="500"/>
        <c:dispUnits>
          <c:builtInUnit val="thousands"/>
        </c:dispUnits>
      </c:valAx>
      <c:dateAx>
        <c:axId val="151030272"/>
        <c:scaling>
          <c:orientation val="minMax"/>
        </c:scaling>
        <c:delete val="1"/>
        <c:axPos val="b"/>
        <c:numFmt formatCode="[$-409]mmm\-yy;@" sourceLinked="1"/>
        <c:majorTickMark val="out"/>
        <c:minorTickMark val="none"/>
        <c:tickLblPos val="nextTo"/>
        <c:crossAx val="154311424"/>
        <c:crosses val="autoZero"/>
        <c:auto val="0"/>
        <c:lblOffset val="100"/>
        <c:baseTimeUnit val="months"/>
      </c:dateAx>
      <c:spPr>
        <a:noFill/>
        <a:ln>
          <a:noFill/>
        </a:ln>
        <a:effectLst/>
      </c:spPr>
    </c:plotArea>
    <c:legend>
      <c:legendPos val="b"/>
      <c:layout>
        <c:manualLayout>
          <c:xMode val="edge"/>
          <c:yMode val="edge"/>
          <c:x val="0.10164675814571447"/>
          <c:y val="0.87648641104576042"/>
          <c:w val="0.82665128174197633"/>
          <c:h val="0.123513588954239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5631089595"/>
          <c:y val="2.8574616789475059E-2"/>
          <c:w val="0.78292437628529898"/>
          <c:h val="0.66091773011132227"/>
        </c:manualLayout>
      </c:layout>
      <c:barChart>
        <c:barDir val="col"/>
        <c:grouping val="stacked"/>
        <c:varyColors val="0"/>
        <c:ser>
          <c:idx val="0"/>
          <c:order val="0"/>
          <c:tx>
            <c:strRef>
              <c:f>Exchange_Wise!$G$2</c:f>
              <c:strCache>
                <c:ptCount val="1"/>
                <c:pt idx="0">
                  <c:v>MCX (LHS)</c:v>
                </c:pt>
              </c:strCache>
            </c:strRef>
          </c:tx>
          <c:spPr>
            <a:solidFill>
              <a:srgbClr val="92D050"/>
            </a:solidFill>
            <a:ln>
              <a:solidFill>
                <a:sysClr val="windowText" lastClr="000000"/>
              </a:solidFill>
            </a:ln>
            <a:effectLst/>
          </c:spPr>
          <c:invertIfNegative val="0"/>
          <c:cat>
            <c:numRef>
              <c:f>Exchange_Wise!$A$10:$A$23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Exchange_Wise!$G$10:$G$23</c:f>
              <c:numCache>
                <c:formatCode>#,##0</c:formatCode>
                <c:ptCount val="12"/>
                <c:pt idx="0">
                  <c:v>631081.49217339978</c:v>
                </c:pt>
                <c:pt idx="1">
                  <c:v>732338.52416479995</c:v>
                </c:pt>
                <c:pt idx="2">
                  <c:v>602584.41504829982</c:v>
                </c:pt>
                <c:pt idx="3">
                  <c:v>525273.25289939984</c:v>
                </c:pt>
                <c:pt idx="4">
                  <c:v>657112.9212915001</c:v>
                </c:pt>
                <c:pt idx="5">
                  <c:v>573244.30666690005</c:v>
                </c:pt>
                <c:pt idx="6">
                  <c:v>578366.63177189988</c:v>
                </c:pt>
                <c:pt idx="7">
                  <c:v>535066.9253165999</c:v>
                </c:pt>
                <c:pt idx="8">
                  <c:v>562207.22881080012</c:v>
                </c:pt>
                <c:pt idx="9">
                  <c:v>598897.15908910008</c:v>
                </c:pt>
                <c:pt idx="10">
                  <c:v>522314.69155069976</c:v>
                </c:pt>
                <c:pt idx="11">
                  <c:v>446299.64222270012</c:v>
                </c:pt>
              </c:numCache>
              <c:extLst/>
            </c:numRef>
          </c:val>
          <c:extLst xmlns:c15="http://schemas.microsoft.com/office/drawing/2012/chart">
            <c:ext xmlns:c16="http://schemas.microsoft.com/office/drawing/2014/chart" uri="{C3380CC4-5D6E-409C-BE32-E72D297353CC}">
              <c16:uniqueId val="{00000000-9175-4D5B-865B-5901EC46BE5D}"/>
            </c:ext>
          </c:extLst>
        </c:ser>
        <c:dLbls>
          <c:showLegendKey val="0"/>
          <c:showVal val="0"/>
          <c:showCatName val="0"/>
          <c:showSerName val="0"/>
          <c:showPercent val="0"/>
          <c:showBubbleSize val="0"/>
        </c:dLbls>
        <c:gapWidth val="219"/>
        <c:overlap val="100"/>
        <c:axId val="169123840"/>
        <c:axId val="154309696"/>
        <c:extLst/>
      </c:barChart>
      <c:lineChart>
        <c:grouping val="stacked"/>
        <c:varyColors val="0"/>
        <c:ser>
          <c:idx val="1"/>
          <c:order val="1"/>
          <c:tx>
            <c:strRef>
              <c:f>Exchange_Wise!$H$2</c:f>
              <c:strCache>
                <c:ptCount val="1"/>
                <c:pt idx="0">
                  <c:v>NCDEX (RHS)</c:v>
                </c:pt>
              </c:strCache>
            </c:strRef>
          </c:tx>
          <c:spPr>
            <a:ln w="19050" cap="rnd">
              <a:solidFill>
                <a:sysClr val="windowText" lastClr="000000">
                  <a:lumMod val="75000"/>
                  <a:lumOff val="25000"/>
                </a:sysClr>
              </a:solidFill>
              <a:round/>
            </a:ln>
            <a:effectLst/>
          </c:spPr>
          <c:marker>
            <c:symbol val="circle"/>
            <c:size val="5"/>
            <c:spPr>
              <a:solidFill>
                <a:sysClr val="windowText" lastClr="000000"/>
              </a:solidFill>
              <a:ln w="9525">
                <a:solidFill>
                  <a:schemeClr val="accent2"/>
                </a:solidFill>
              </a:ln>
              <a:effectLst/>
            </c:spPr>
          </c:marker>
          <c:cat>
            <c:numRef>
              <c:f>Exchange_Wise!$A$11:$A$24</c:f>
              <c:numCache>
                <c:formatCode>[$-409]mmm\-yy;@</c:formatCode>
                <c:ptCount val="12"/>
                <c:pt idx="0">
                  <c:v>44228</c:v>
                </c:pt>
                <c:pt idx="1">
                  <c:v>44257</c:v>
                </c:pt>
                <c:pt idx="2">
                  <c:v>44287</c:v>
                </c:pt>
                <c:pt idx="3">
                  <c:v>44317</c:v>
                </c:pt>
                <c:pt idx="4">
                  <c:v>44349</c:v>
                </c:pt>
                <c:pt idx="5">
                  <c:v>44408</c:v>
                </c:pt>
                <c:pt idx="6">
                  <c:v>44439</c:v>
                </c:pt>
                <c:pt idx="7">
                  <c:v>44469</c:v>
                </c:pt>
                <c:pt idx="8">
                  <c:v>44500</c:v>
                </c:pt>
                <c:pt idx="9">
                  <c:v>44530</c:v>
                </c:pt>
                <c:pt idx="10">
                  <c:v>44561</c:v>
                </c:pt>
              </c:numCache>
              <c:extLst/>
            </c:numRef>
          </c:cat>
          <c:val>
            <c:numRef>
              <c:f>Exchange_Wise!$H$10:$H$23</c:f>
              <c:numCache>
                <c:formatCode>#,##0</c:formatCode>
                <c:ptCount val="12"/>
                <c:pt idx="0">
                  <c:v>24.235309999999998</c:v>
                </c:pt>
                <c:pt idx="1">
                  <c:v>38.773069999999997</c:v>
                </c:pt>
                <c:pt idx="2">
                  <c:v>25.14254</c:v>
                </c:pt>
                <c:pt idx="3">
                  <c:v>11.57</c:v>
                </c:pt>
                <c:pt idx="4">
                  <c:v>15.86</c:v>
                </c:pt>
                <c:pt idx="5">
                  <c:v>17.549300000000002</c:v>
                </c:pt>
                <c:pt idx="6">
                  <c:v>17.309999999999999</c:v>
                </c:pt>
                <c:pt idx="7">
                  <c:v>13.696019999999997</c:v>
                </c:pt>
                <c:pt idx="8">
                  <c:v>10.95</c:v>
                </c:pt>
                <c:pt idx="9">
                  <c:v>9.6300000000000008</c:v>
                </c:pt>
                <c:pt idx="10">
                  <c:v>9.0530000000000008</c:v>
                </c:pt>
                <c:pt idx="11">
                  <c:v>6.51</c:v>
                </c:pt>
              </c:numCache>
              <c:extLst/>
            </c:numRef>
          </c:val>
          <c:smooth val="0"/>
          <c:extLst xmlns:c15="http://schemas.microsoft.com/office/drawing/2012/chart">
            <c:ext xmlns:c16="http://schemas.microsoft.com/office/drawing/2014/chart" uri="{C3380CC4-5D6E-409C-BE32-E72D297353CC}">
              <c16:uniqueId val="{00000001-9175-4D5B-865B-5901EC46BE5D}"/>
            </c:ext>
          </c:extLst>
        </c:ser>
        <c:ser>
          <c:idx val="2"/>
          <c:order val="2"/>
          <c:tx>
            <c:strRef>
              <c:f>Exchange_Wise!$I$2</c:f>
              <c:strCache>
                <c:ptCount val="1"/>
                <c:pt idx="0">
                  <c:v>ICEX (RHS)</c:v>
                </c:pt>
              </c:strCache>
            </c:strRef>
          </c:tx>
          <c:spPr>
            <a:ln w="19050" cap="rnd">
              <a:solidFill>
                <a:srgbClr val="FF0000"/>
              </a:solidFill>
              <a:prstDash val="dash"/>
              <a:round/>
            </a:ln>
            <a:effectLst/>
          </c:spPr>
          <c:marker>
            <c:symbol val="circle"/>
            <c:size val="4"/>
            <c:spPr>
              <a:solidFill>
                <a:srgbClr val="C00000"/>
              </a:solidFill>
              <a:ln w="19050">
                <a:solidFill>
                  <a:srgbClr val="FF0000"/>
                </a:solidFill>
                <a:prstDash val="dash"/>
              </a:ln>
              <a:effectLst/>
            </c:spPr>
          </c:marker>
          <c:cat>
            <c:numRef>
              <c:f>Exchange_Wise!$A$11:$A$24</c:f>
              <c:numCache>
                <c:formatCode>[$-409]mmm\-yy;@</c:formatCode>
                <c:ptCount val="12"/>
                <c:pt idx="0">
                  <c:v>44228</c:v>
                </c:pt>
                <c:pt idx="1">
                  <c:v>44257</c:v>
                </c:pt>
                <c:pt idx="2">
                  <c:v>44287</c:v>
                </c:pt>
                <c:pt idx="3">
                  <c:v>44317</c:v>
                </c:pt>
                <c:pt idx="4">
                  <c:v>44349</c:v>
                </c:pt>
                <c:pt idx="5">
                  <c:v>44408</c:v>
                </c:pt>
                <c:pt idx="6">
                  <c:v>44439</c:v>
                </c:pt>
                <c:pt idx="7">
                  <c:v>44469</c:v>
                </c:pt>
                <c:pt idx="8">
                  <c:v>44500</c:v>
                </c:pt>
                <c:pt idx="9">
                  <c:v>44530</c:v>
                </c:pt>
                <c:pt idx="10">
                  <c:v>44561</c:v>
                </c:pt>
              </c:numCache>
              <c:extLst/>
            </c:numRef>
          </c:cat>
          <c:val>
            <c:numRef>
              <c:f>Exchange_Wise!$I$10:$I$23</c:f>
              <c:numCache>
                <c:formatCode>#,##0</c:formatCode>
                <c:ptCount val="12"/>
                <c:pt idx="0">
                  <c:v>10.392370000000001</c:v>
                </c:pt>
                <c:pt idx="1">
                  <c:v>16.025917</c:v>
                </c:pt>
                <c:pt idx="2">
                  <c:v>19.011840000000003</c:v>
                </c:pt>
                <c:pt idx="3">
                  <c:v>16.042120000000001</c:v>
                </c:pt>
                <c:pt idx="4">
                  <c:v>18.87</c:v>
                </c:pt>
                <c:pt idx="5">
                  <c:v>22.58</c:v>
                </c:pt>
                <c:pt idx="6">
                  <c:v>18.54</c:v>
                </c:pt>
                <c:pt idx="7">
                  <c:v>17.701999999999998</c:v>
                </c:pt>
                <c:pt idx="8">
                  <c:v>11.303420000000001</c:v>
                </c:pt>
                <c:pt idx="9">
                  <c:v>6.16662</c:v>
                </c:pt>
                <c:pt idx="10">
                  <c:v>2.74</c:v>
                </c:pt>
                <c:pt idx="11">
                  <c:v>2.74</c:v>
                </c:pt>
              </c:numCache>
              <c:extLst/>
            </c:numRef>
          </c:val>
          <c:smooth val="0"/>
          <c:extLst>
            <c:ext xmlns:c16="http://schemas.microsoft.com/office/drawing/2014/chart" uri="{C3380CC4-5D6E-409C-BE32-E72D297353CC}">
              <c16:uniqueId val="{00000002-9175-4D5B-865B-5901EC46BE5D}"/>
            </c:ext>
          </c:extLst>
        </c:ser>
        <c:ser>
          <c:idx val="4"/>
          <c:order val="3"/>
          <c:tx>
            <c:strRef>
              <c:f>Exchange_Wise!$K$2</c:f>
              <c:strCache>
                <c:ptCount val="1"/>
                <c:pt idx="0">
                  <c:v>NSE (RHS)</c:v>
                </c:pt>
              </c:strCache>
            </c:strRef>
          </c:tx>
          <c:spPr>
            <a:ln w="25400" cap="rnd">
              <a:solidFill>
                <a:srgbClr val="00B0F0"/>
              </a:solidFill>
              <a:prstDash val="sysDash"/>
              <a:round/>
            </a:ln>
            <a:effectLst/>
          </c:spPr>
          <c:marker>
            <c:symbol val="square"/>
            <c:size val="6"/>
            <c:spPr>
              <a:solidFill>
                <a:sysClr val="windowText" lastClr="000000"/>
              </a:solidFill>
              <a:ln w="9525">
                <a:solidFill>
                  <a:schemeClr val="accent5"/>
                </a:solidFill>
              </a:ln>
              <a:effectLst/>
            </c:spPr>
          </c:marker>
          <c:cat>
            <c:numRef>
              <c:f>Exchange_Wise!$A$11:$A$24</c:f>
              <c:numCache>
                <c:formatCode>[$-409]mmm\-yy;@</c:formatCode>
                <c:ptCount val="12"/>
                <c:pt idx="0">
                  <c:v>44228</c:v>
                </c:pt>
                <c:pt idx="1">
                  <c:v>44257</c:v>
                </c:pt>
                <c:pt idx="2">
                  <c:v>44287</c:v>
                </c:pt>
                <c:pt idx="3">
                  <c:v>44317</c:v>
                </c:pt>
                <c:pt idx="4">
                  <c:v>44349</c:v>
                </c:pt>
                <c:pt idx="5">
                  <c:v>44408</c:v>
                </c:pt>
                <c:pt idx="6">
                  <c:v>44439</c:v>
                </c:pt>
                <c:pt idx="7">
                  <c:v>44469</c:v>
                </c:pt>
                <c:pt idx="8">
                  <c:v>44500</c:v>
                </c:pt>
                <c:pt idx="9">
                  <c:v>44530</c:v>
                </c:pt>
                <c:pt idx="10">
                  <c:v>44561</c:v>
                </c:pt>
              </c:numCache>
              <c:extLst/>
            </c:numRef>
          </c:cat>
          <c:val>
            <c:numRef>
              <c:f>Exchange_Wise!$K$10:$K$23</c:f>
              <c:numCache>
                <c:formatCode>#,##0</c:formatCode>
                <c:ptCount val="12"/>
                <c:pt idx="0">
                  <c:v>11.035423000000002</c:v>
                </c:pt>
                <c:pt idx="1">
                  <c:v>14.295155499999996</c:v>
                </c:pt>
                <c:pt idx="2">
                  <c:v>11.136143500000001</c:v>
                </c:pt>
                <c:pt idx="3">
                  <c:v>6.284978999999999</c:v>
                </c:pt>
                <c:pt idx="4">
                  <c:v>6.4907739999999965</c:v>
                </c:pt>
                <c:pt idx="5">
                  <c:v>7.7</c:v>
                </c:pt>
                <c:pt idx="6">
                  <c:v>4.1648215999999998</c:v>
                </c:pt>
                <c:pt idx="7">
                  <c:v>1.2277750999999995</c:v>
                </c:pt>
                <c:pt idx="8">
                  <c:v>1.0724889999999996</c:v>
                </c:pt>
                <c:pt idx="9">
                  <c:v>0.99556400000000023</c:v>
                </c:pt>
                <c:pt idx="10">
                  <c:v>1.0610160000000002</c:v>
                </c:pt>
                <c:pt idx="11">
                  <c:v>1.0545200000000001</c:v>
                </c:pt>
              </c:numCache>
              <c:extLst/>
            </c:numRef>
          </c:val>
          <c:smooth val="0"/>
          <c:extLst>
            <c:ext xmlns:c16="http://schemas.microsoft.com/office/drawing/2014/chart" uri="{C3380CC4-5D6E-409C-BE32-E72D297353CC}">
              <c16:uniqueId val="{00000003-9175-4D5B-865B-5901EC46BE5D}"/>
            </c:ext>
          </c:extLst>
        </c:ser>
        <c:ser>
          <c:idx val="3"/>
          <c:order val="4"/>
          <c:tx>
            <c:strRef>
              <c:f>Exchange_Wise!$J$2</c:f>
              <c:strCache>
                <c:ptCount val="1"/>
                <c:pt idx="0">
                  <c:v>BSE (RHS)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Exchange_Wise!$A$11:$A$24</c:f>
              <c:numCache>
                <c:formatCode>[$-409]mmm\-yy;@</c:formatCode>
                <c:ptCount val="12"/>
                <c:pt idx="0">
                  <c:v>44228</c:v>
                </c:pt>
                <c:pt idx="1">
                  <c:v>44257</c:v>
                </c:pt>
                <c:pt idx="2">
                  <c:v>44287</c:v>
                </c:pt>
                <c:pt idx="3">
                  <c:v>44317</c:v>
                </c:pt>
                <c:pt idx="4">
                  <c:v>44349</c:v>
                </c:pt>
                <c:pt idx="5">
                  <c:v>44408</c:v>
                </c:pt>
                <c:pt idx="6">
                  <c:v>44439</c:v>
                </c:pt>
                <c:pt idx="7">
                  <c:v>44469</c:v>
                </c:pt>
                <c:pt idx="8">
                  <c:v>44500</c:v>
                </c:pt>
                <c:pt idx="9">
                  <c:v>44530</c:v>
                </c:pt>
                <c:pt idx="10">
                  <c:v>44561</c:v>
                </c:pt>
              </c:numCache>
              <c:extLst/>
            </c:numRef>
          </c:cat>
          <c:val>
            <c:numRef>
              <c:f>Exchange_Wise!$J$11:$J$24</c:f>
              <c:numCache>
                <c:formatCode>#,##0</c:formatCode>
                <c:ptCount val="12"/>
                <c:pt idx="0">
                  <c:v>9.8699999999999992</c:v>
                </c:pt>
                <c:pt idx="1">
                  <c:v>11.647484</c:v>
                </c:pt>
                <c:pt idx="2">
                  <c:v>10.74</c:v>
                </c:pt>
                <c:pt idx="3">
                  <c:v>10.59</c:v>
                </c:pt>
                <c:pt idx="4">
                  <c:v>11</c:v>
                </c:pt>
                <c:pt idx="5">
                  <c:v>27.182001</c:v>
                </c:pt>
                <c:pt idx="6">
                  <c:v>64.38</c:v>
                </c:pt>
                <c:pt idx="7">
                  <c:v>69.201874000000004</c:v>
                </c:pt>
                <c:pt idx="8">
                  <c:v>90.755050999999995</c:v>
                </c:pt>
                <c:pt idx="9">
                  <c:v>117.18187400000001</c:v>
                </c:pt>
                <c:pt idx="10">
                  <c:v>91.389163999999994</c:v>
                </c:pt>
              </c:numCache>
              <c:extLst/>
            </c:numRef>
          </c:val>
          <c:smooth val="0"/>
          <c:extLst>
            <c:ext xmlns:c16="http://schemas.microsoft.com/office/drawing/2014/chart" uri="{C3380CC4-5D6E-409C-BE32-E72D297353CC}">
              <c16:uniqueId val="{00000004-9175-4D5B-865B-5901EC46BE5D}"/>
            </c:ext>
          </c:extLst>
        </c:ser>
        <c:dLbls>
          <c:showLegendKey val="0"/>
          <c:showVal val="0"/>
          <c:showCatName val="0"/>
          <c:showSerName val="0"/>
          <c:showPercent val="0"/>
          <c:showBubbleSize val="0"/>
        </c:dLbls>
        <c:marker val="1"/>
        <c:smooth val="0"/>
        <c:axId val="306136064"/>
        <c:axId val="154310272"/>
      </c:lineChart>
      <c:dateAx>
        <c:axId val="16912384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54309696"/>
        <c:crosses val="autoZero"/>
        <c:auto val="0"/>
        <c:lblOffset val="100"/>
        <c:baseTimeUnit val="months"/>
      </c:dateAx>
      <c:valAx>
        <c:axId val="154309696"/>
        <c:scaling>
          <c:orientation val="minMax"/>
          <c:max val="1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Thousand</a:t>
                </a:r>
                <a:r>
                  <a:rPr lang="en-IN" baseline="0"/>
                  <a:t> </a:t>
                </a:r>
                <a:r>
                  <a:rPr lang="en-IN"/>
                  <a:t>crore</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69123840"/>
        <c:crosses val="autoZero"/>
        <c:crossBetween val="between"/>
        <c:majorUnit val="100000"/>
        <c:dispUnits>
          <c:builtInUnit val="thousands"/>
        </c:dispUnits>
      </c:valAx>
      <c:valAx>
        <c:axId val="154310272"/>
        <c:scaling>
          <c:orientation val="minMax"/>
          <c:max val="2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6136064"/>
        <c:crosses val="max"/>
        <c:crossBetween val="between"/>
      </c:valAx>
      <c:dateAx>
        <c:axId val="306136064"/>
        <c:scaling>
          <c:orientation val="minMax"/>
        </c:scaling>
        <c:delete val="1"/>
        <c:axPos val="b"/>
        <c:numFmt formatCode="[$-409]mmm\-yy;@" sourceLinked="1"/>
        <c:majorTickMark val="out"/>
        <c:minorTickMark val="none"/>
        <c:tickLblPos val="nextTo"/>
        <c:crossAx val="154310272"/>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9771364188023373"/>
          <c:h val="6.03500756821344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1775985083777"/>
          <c:y val="2.5425336553711E-2"/>
          <c:w val="0.81931949959178485"/>
          <c:h val="0.69092513878243111"/>
        </c:manualLayout>
      </c:layout>
      <c:lineChart>
        <c:grouping val="standard"/>
        <c:varyColors val="0"/>
        <c:ser>
          <c:idx val="3"/>
          <c:order val="0"/>
          <c:tx>
            <c:strRef>
              <c:f>Exchange_Wise!$L$2</c:f>
              <c:strCache>
                <c:ptCount val="1"/>
                <c:pt idx="0">
                  <c:v>MCX (LHS)</c:v>
                </c:pt>
              </c:strCache>
            </c:strRef>
          </c:tx>
          <c:spPr>
            <a:ln w="22225" cap="rnd">
              <a:solidFill>
                <a:srgbClr val="0070C0"/>
              </a:solidFill>
              <a:round/>
            </a:ln>
            <a:effectLst/>
          </c:spPr>
          <c:marker>
            <c:symbol val="circle"/>
            <c:size val="5"/>
            <c:spPr>
              <a:solidFill>
                <a:srgbClr val="0070C0"/>
              </a:solidFill>
              <a:ln w="9525">
                <a:solidFill>
                  <a:srgbClr val="0070C0"/>
                </a:solidFill>
              </a:ln>
              <a:effectLst/>
            </c:spPr>
          </c:marker>
          <c:cat>
            <c:numRef>
              <c:f>Exchange_Wise!$A$12:$A$23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Exchange_Wise!$L$12:$L$23</c:f>
              <c:numCache>
                <c:formatCode>#,##0</c:formatCode>
                <c:ptCount val="12"/>
                <c:pt idx="0">
                  <c:v>25959.086283000004</c:v>
                </c:pt>
                <c:pt idx="1">
                  <c:v>17156.310860000001</c:v>
                </c:pt>
                <c:pt idx="2">
                  <c:v>28949.873640999998</c:v>
                </c:pt>
                <c:pt idx="3">
                  <c:v>29746.30315299999</c:v>
                </c:pt>
                <c:pt idx="4">
                  <c:v>41737.770531000002</c:v>
                </c:pt>
                <c:pt idx="5">
                  <c:v>50098.683639000003</c:v>
                </c:pt>
                <c:pt idx="6">
                  <c:v>99269.799360999983</c:v>
                </c:pt>
                <c:pt idx="7">
                  <c:v>130106.263812</c:v>
                </c:pt>
                <c:pt idx="8">
                  <c:v>168111.93358800001</c:v>
                </c:pt>
                <c:pt idx="9">
                  <c:v>175348.76363799989</c:v>
                </c:pt>
                <c:pt idx="10">
                  <c:v>200327.052031</c:v>
                </c:pt>
                <c:pt idx="11">
                  <c:v>183957.54242700001</c:v>
                </c:pt>
              </c:numCache>
              <c:extLst/>
            </c:numRef>
          </c:val>
          <c:smooth val="0"/>
          <c:extLst>
            <c:ext xmlns:c16="http://schemas.microsoft.com/office/drawing/2014/chart" uri="{C3380CC4-5D6E-409C-BE32-E72D297353CC}">
              <c16:uniqueId val="{00000000-CD4F-4F7C-8D21-DBD920130E52}"/>
            </c:ext>
          </c:extLst>
        </c:ser>
        <c:ser>
          <c:idx val="1"/>
          <c:order val="1"/>
          <c:tx>
            <c:strRef>
              <c:f>Exchange_Wise!$M$2</c:f>
              <c:strCache>
                <c:ptCount val="1"/>
                <c:pt idx="0">
                  <c:v>BSE (LHS)</c:v>
                </c:pt>
              </c:strCache>
            </c:strRef>
          </c:tx>
          <c:spPr>
            <a:ln w="22225" cap="rnd">
              <a:solidFill>
                <a:sysClr val="windowText" lastClr="000000">
                  <a:lumMod val="75000"/>
                  <a:lumOff val="25000"/>
                </a:sysClr>
              </a:solidFill>
              <a:round/>
            </a:ln>
            <a:effectLst/>
          </c:spPr>
          <c:marker>
            <c:symbol val="circle"/>
            <c:size val="5"/>
            <c:spPr>
              <a:solidFill>
                <a:schemeClr val="accent2"/>
              </a:solidFill>
              <a:ln w="9525">
                <a:solidFill>
                  <a:schemeClr val="accent2"/>
                </a:solidFill>
              </a:ln>
              <a:effectLst/>
            </c:spPr>
          </c:marker>
          <c:cat>
            <c:numRef>
              <c:f>Exchange_Wise!$A$12:$A$23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Exchange_Wise!$M$12:$M$23</c:f>
              <c:numCache>
                <c:formatCode>#,##0</c:formatCode>
                <c:ptCount val="12"/>
                <c:pt idx="0">
                  <c:v>62440.93</c:v>
                </c:pt>
                <c:pt idx="1">
                  <c:v>65087.26</c:v>
                </c:pt>
                <c:pt idx="2">
                  <c:v>71581.36</c:v>
                </c:pt>
                <c:pt idx="3">
                  <c:v>66089.42</c:v>
                </c:pt>
                <c:pt idx="4">
                  <c:v>67971.709999999992</c:v>
                </c:pt>
                <c:pt idx="5">
                  <c:v>71633.320000000007</c:v>
                </c:pt>
                <c:pt idx="6">
                  <c:v>69040.27</c:v>
                </c:pt>
                <c:pt idx="7">
                  <c:v>68611.69</c:v>
                </c:pt>
                <c:pt idx="8">
                  <c:v>74108.070000000007</c:v>
                </c:pt>
                <c:pt idx="9">
                  <c:v>93851.94</c:v>
                </c:pt>
                <c:pt idx="10">
                  <c:v>104633.86</c:v>
                </c:pt>
                <c:pt idx="11">
                  <c:v>124168.35</c:v>
                </c:pt>
              </c:numCache>
              <c:extLst/>
            </c:numRef>
          </c:val>
          <c:smooth val="0"/>
          <c:extLst>
            <c:ext xmlns:c16="http://schemas.microsoft.com/office/drawing/2014/chart" uri="{C3380CC4-5D6E-409C-BE32-E72D297353CC}">
              <c16:uniqueId val="{00000001-CD4F-4F7C-8D21-DBD920130E52}"/>
            </c:ext>
          </c:extLst>
        </c:ser>
        <c:dLbls>
          <c:showLegendKey val="0"/>
          <c:showVal val="0"/>
          <c:showCatName val="0"/>
          <c:showSerName val="0"/>
          <c:showPercent val="0"/>
          <c:showBubbleSize val="0"/>
        </c:dLbls>
        <c:marker val="1"/>
        <c:smooth val="0"/>
        <c:axId val="307607040"/>
        <c:axId val="254371520"/>
      </c:lineChart>
      <c:lineChart>
        <c:grouping val="standard"/>
        <c:varyColors val="0"/>
        <c:ser>
          <c:idx val="5"/>
          <c:order val="2"/>
          <c:tx>
            <c:strRef>
              <c:f>Exchange_Wise!$N$2</c:f>
              <c:strCache>
                <c:ptCount val="1"/>
                <c:pt idx="0">
                  <c:v>NSE (RHS)</c:v>
                </c:pt>
              </c:strCache>
            </c:strRef>
          </c:tx>
          <c:spPr>
            <a:ln w="28575" cap="rnd">
              <a:solidFill>
                <a:schemeClr val="accent6"/>
              </a:solidFill>
              <a:round/>
            </a:ln>
            <a:effectLst/>
          </c:spPr>
          <c:marker>
            <c:symbol val="circle"/>
            <c:size val="5"/>
            <c:spPr>
              <a:solidFill>
                <a:srgbClr val="C00000"/>
              </a:solidFill>
              <a:ln w="9525">
                <a:solidFill>
                  <a:schemeClr val="accent6"/>
                </a:solidFill>
              </a:ln>
              <a:effectLst/>
            </c:spPr>
          </c:marker>
          <c:cat>
            <c:numRef>
              <c:f>Exchange_Wise!$A$12:$A$23</c:f>
              <c:numCache>
                <c:formatCode>[$-409]mmm\-yy;@</c:formatCode>
                <c:ptCount val="12"/>
                <c:pt idx="0">
                  <c:v>44197</c:v>
                </c:pt>
                <c:pt idx="1">
                  <c:v>44228</c:v>
                </c:pt>
                <c:pt idx="2">
                  <c:v>44257</c:v>
                </c:pt>
                <c:pt idx="3">
                  <c:v>44287</c:v>
                </c:pt>
                <c:pt idx="4">
                  <c:v>44317</c:v>
                </c:pt>
                <c:pt idx="5">
                  <c:v>44349</c:v>
                </c:pt>
                <c:pt idx="6">
                  <c:v>44408</c:v>
                </c:pt>
                <c:pt idx="7">
                  <c:v>44439</c:v>
                </c:pt>
                <c:pt idx="8">
                  <c:v>44469</c:v>
                </c:pt>
                <c:pt idx="9">
                  <c:v>44500</c:v>
                </c:pt>
                <c:pt idx="10">
                  <c:v>44530</c:v>
                </c:pt>
                <c:pt idx="11">
                  <c:v>44561</c:v>
                </c:pt>
              </c:numCache>
              <c:extLst/>
            </c:numRef>
          </c:cat>
          <c:val>
            <c:numRef>
              <c:f>Exchange_Wise!$N$12:$N$23</c:f>
              <c:numCache>
                <c:formatCode>#,##0</c:formatCode>
                <c:ptCount val="12"/>
                <c:pt idx="0">
                  <c:v>1913.7781235000002</c:v>
                </c:pt>
                <c:pt idx="1">
                  <c:v>1103.8054694999996</c:v>
                </c:pt>
                <c:pt idx="2">
                  <c:v>1206.0163299999995</c:v>
                </c:pt>
                <c:pt idx="3">
                  <c:v>950.66633899999977</c:v>
                </c:pt>
                <c:pt idx="4">
                  <c:v>846.21426750000001</c:v>
                </c:pt>
                <c:pt idx="5">
                  <c:v>699.27089999999998</c:v>
                </c:pt>
                <c:pt idx="6">
                  <c:v>894.56880599999931</c:v>
                </c:pt>
                <c:pt idx="7">
                  <c:v>1461.2396724999994</c:v>
                </c:pt>
                <c:pt idx="8">
                  <c:v>1689.5345539999994</c:v>
                </c:pt>
                <c:pt idx="9">
                  <c:v>1544.4293314999982</c:v>
                </c:pt>
                <c:pt idx="10">
                  <c:v>1690.9406470000004</c:v>
                </c:pt>
                <c:pt idx="11">
                  <c:v>1631.379094500001</c:v>
                </c:pt>
              </c:numCache>
              <c:extLst/>
            </c:numRef>
          </c:val>
          <c:smooth val="0"/>
          <c:extLst>
            <c:ext xmlns:c16="http://schemas.microsoft.com/office/drawing/2014/chart" uri="{C3380CC4-5D6E-409C-BE32-E72D297353CC}">
              <c16:uniqueId val="{00000002-CD4F-4F7C-8D21-DBD920130E52}"/>
            </c:ext>
          </c:extLst>
        </c:ser>
        <c:dLbls>
          <c:showLegendKey val="0"/>
          <c:showVal val="0"/>
          <c:showCatName val="0"/>
          <c:showSerName val="0"/>
          <c:showPercent val="0"/>
          <c:showBubbleSize val="0"/>
        </c:dLbls>
        <c:marker val="1"/>
        <c:smooth val="0"/>
        <c:axId val="307608064"/>
        <c:axId val="254372096"/>
      </c:lineChart>
      <c:dateAx>
        <c:axId val="30760704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254371520"/>
        <c:crosses val="autoZero"/>
        <c:auto val="1"/>
        <c:lblOffset val="100"/>
        <c:baseTimeUnit val="months"/>
      </c:dateAx>
      <c:valAx>
        <c:axId val="254371520"/>
        <c:scaling>
          <c:orientation val="minMax"/>
          <c:max val="2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Thousands</a:t>
                </a:r>
                <a:r>
                  <a:rPr lang="en-IN" baseline="0"/>
                  <a:t> </a:t>
                </a:r>
                <a:r>
                  <a:rPr lang="en-IN"/>
                  <a:t>crore</a:t>
                </a:r>
              </a:p>
            </c:rich>
          </c:tx>
          <c:layout>
            <c:manualLayout>
              <c:xMode val="edge"/>
              <c:yMode val="edge"/>
              <c:x val="1.0322239119531042E-2"/>
              <c:y val="0.2490853583418470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7607040"/>
        <c:crosses val="autoZero"/>
        <c:crossBetween val="between"/>
        <c:majorUnit val="50000"/>
        <c:minorUnit val="5000"/>
        <c:dispUnits>
          <c:builtInUnit val="thousands"/>
        </c:dispUnits>
      </c:valAx>
      <c:valAx>
        <c:axId val="254372096"/>
        <c:scaling>
          <c:orientation val="minMax"/>
          <c:max val="5000"/>
        </c:scaling>
        <c:delete val="0"/>
        <c:axPos val="r"/>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Palatino Linotype" panose="02040502050505030304" pitchFamily="18" charset="0"/>
                    <a:ea typeface="+mn-ea"/>
                    <a:cs typeface="+mn-cs"/>
                  </a:defRPr>
                </a:pPr>
                <a:r>
                  <a:rPr lang="en-US" sz="1050" b="0" i="0" baseline="0">
                    <a:effectLst/>
                  </a:rPr>
                  <a:t>₹</a:t>
                </a:r>
                <a:r>
                  <a:rPr lang="en-IN" sz="1050" b="0" i="0" baseline="0">
                    <a:effectLst/>
                  </a:rPr>
                  <a:t>  Thousand crore</a:t>
                </a:r>
                <a:endParaRPr lang="en-IN" sz="1050">
                  <a:effectLst/>
                </a:endParaRP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7608064"/>
        <c:crosses val="max"/>
        <c:crossBetween val="between"/>
        <c:majorUnit val="1000"/>
        <c:dispUnits>
          <c:builtInUnit val="thousands"/>
        </c:dispUnits>
      </c:valAx>
      <c:dateAx>
        <c:axId val="307608064"/>
        <c:scaling>
          <c:orientation val="minMax"/>
        </c:scaling>
        <c:delete val="1"/>
        <c:axPos val="b"/>
        <c:numFmt formatCode="[$-409]mmm\-yy;@" sourceLinked="1"/>
        <c:majorTickMark val="out"/>
        <c:minorTickMark val="none"/>
        <c:tickLblPos val="nextTo"/>
        <c:crossAx val="254372096"/>
        <c:crosses val="autoZero"/>
        <c:auto val="1"/>
        <c:lblOffset val="100"/>
        <c:baseTimeUnit val="months"/>
      </c:dateAx>
      <c:spPr>
        <a:noFill/>
        <a:ln>
          <a:noFill/>
        </a:ln>
        <a:effectLst/>
      </c:spPr>
    </c:plotArea>
    <c:legend>
      <c:legendPos val="b"/>
      <c:layout>
        <c:manualLayout>
          <c:xMode val="edge"/>
          <c:yMode val="edge"/>
          <c:x val="1.6260771125311369E-2"/>
          <c:y val="0.91692212137604945"/>
          <c:w val="0.94773546218895199"/>
          <c:h val="7.825781929075062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5.0925925925925923E-2"/>
          <c:w val="0.86984470691163607"/>
          <c:h val="0.60706765820939046"/>
        </c:manualLayout>
      </c:layout>
      <c:lineChart>
        <c:grouping val="standard"/>
        <c:varyColors val="0"/>
        <c:ser>
          <c:idx val="2"/>
          <c:order val="2"/>
          <c:tx>
            <c:strRef>
              <c:f>'Currency Chart'!$R$5</c:f>
              <c:strCache>
                <c:ptCount val="1"/>
                <c:pt idx="0">
                  <c:v>USD-INR</c:v>
                </c:pt>
              </c:strCache>
            </c:strRef>
          </c:tx>
          <c:spPr>
            <a:ln w="28575" cap="rnd">
              <a:solidFill>
                <a:schemeClr val="accent6"/>
              </a:solidFill>
              <a:round/>
            </a:ln>
            <a:effectLst/>
          </c:spPr>
          <c:marker>
            <c:symbol val="none"/>
          </c:marker>
          <c:cat>
            <c:numRef>
              <c:f>'Currency Chart'!$O$6:$O$291</c:f>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f>'Currency Chart'!$R$6:$R$291</c:f>
              <c:numCache>
                <c:formatCode>0</c:formatCode>
                <c:ptCount val="286"/>
                <c:pt idx="0" formatCode="General">
                  <c:v>100</c:v>
                </c:pt>
                <c:pt idx="1">
                  <c:v>100.11473762326082</c:v>
                </c:pt>
                <c:pt idx="2">
                  <c:v>100.04627842083789</c:v>
                </c:pt>
                <c:pt idx="3">
                  <c:v>100.11473762326081</c:v>
                </c:pt>
                <c:pt idx="4">
                  <c:v>100.11227309197358</c:v>
                </c:pt>
                <c:pt idx="5">
                  <c:v>100.52549283779825</c:v>
                </c:pt>
                <c:pt idx="6">
                  <c:v>100.40226627343701</c:v>
                </c:pt>
                <c:pt idx="7">
                  <c:v>100.57409887151852</c:v>
                </c:pt>
                <c:pt idx="8">
                  <c:v>100.25165602810661</c:v>
                </c:pt>
                <c:pt idx="9">
                  <c:v>100.16950498519911</c:v>
                </c:pt>
                <c:pt idx="10">
                  <c:v>100.04627842083787</c:v>
                </c:pt>
                <c:pt idx="11">
                  <c:v>100.11473762326078</c:v>
                </c:pt>
                <c:pt idx="12">
                  <c:v>100.19825785021672</c:v>
                </c:pt>
                <c:pt idx="13">
                  <c:v>100.21058050665285</c:v>
                </c:pt>
                <c:pt idx="14">
                  <c:v>99.827208973084566</c:v>
                </c:pt>
                <c:pt idx="15">
                  <c:v>99.895668175507467</c:v>
                </c:pt>
                <c:pt idx="16">
                  <c:v>99.923051856476647</c:v>
                </c:pt>
                <c:pt idx="17">
                  <c:v>99.895668175507467</c:v>
                </c:pt>
                <c:pt idx="18">
                  <c:v>99.827208973084566</c:v>
                </c:pt>
                <c:pt idx="19">
                  <c:v>100.03258658035331</c:v>
                </c:pt>
                <c:pt idx="20">
                  <c:v>99.855961838102203</c:v>
                </c:pt>
                <c:pt idx="21">
                  <c:v>99.782025899485461</c:v>
                </c:pt>
                <c:pt idx="22">
                  <c:v>100.10104578277623</c:v>
                </c:pt>
                <c:pt idx="23">
                  <c:v>99.812284866956404</c:v>
                </c:pt>
                <c:pt idx="24">
                  <c:v>99.69029056823878</c:v>
                </c:pt>
                <c:pt idx="25">
                  <c:v>99.881976335022927</c:v>
                </c:pt>
                <c:pt idx="26">
                  <c:v>99.69029056823878</c:v>
                </c:pt>
                <c:pt idx="27">
                  <c:v>99.854592654053761</c:v>
                </c:pt>
                <c:pt idx="28">
                  <c:v>99.750534666370939</c:v>
                </c:pt>
                <c:pt idx="29">
                  <c:v>99.662906887269628</c:v>
                </c:pt>
                <c:pt idx="30">
                  <c:v>99.539680322908382</c:v>
                </c:pt>
                <c:pt idx="31">
                  <c:v>99.3753782370934</c:v>
                </c:pt>
                <c:pt idx="32">
                  <c:v>99.427407230934804</c:v>
                </c:pt>
                <c:pt idx="33">
                  <c:v>99.758749770661694</c:v>
                </c:pt>
                <c:pt idx="34">
                  <c:v>99.697136488481078</c:v>
                </c:pt>
                <c:pt idx="35">
                  <c:v>99.3753782370934</c:v>
                </c:pt>
                <c:pt idx="36">
                  <c:v>99.334302715639652</c:v>
                </c:pt>
                <c:pt idx="37">
                  <c:v>99.334302715639652</c:v>
                </c:pt>
                <c:pt idx="38">
                  <c:v>99.183692470309254</c:v>
                </c:pt>
                <c:pt idx="39">
                  <c:v>99.101541427401756</c:v>
                </c:pt>
                <c:pt idx="40">
                  <c:v>99.101541427401756</c:v>
                </c:pt>
                <c:pt idx="41">
                  <c:v>99.588970948652872</c:v>
                </c:pt>
                <c:pt idx="42">
                  <c:v>101.21008486202734</c:v>
                </c:pt>
                <c:pt idx="43">
                  <c:v>100.49263242063526</c:v>
                </c:pt>
                <c:pt idx="44">
                  <c:v>100.29273154956037</c:v>
                </c:pt>
                <c:pt idx="45">
                  <c:v>99.854592654053761</c:v>
                </c:pt>
                <c:pt idx="46">
                  <c:v>99.584863396507501</c:v>
                </c:pt>
                <c:pt idx="47">
                  <c:v>100.19688866616831</c:v>
                </c:pt>
                <c:pt idx="48">
                  <c:v>100.42964995440617</c:v>
                </c:pt>
                <c:pt idx="49">
                  <c:v>99.63004647010662</c:v>
                </c:pt>
                <c:pt idx="50">
                  <c:v>99.567064003877533</c:v>
                </c:pt>
                <c:pt idx="51">
                  <c:v>99.525988482423799</c:v>
                </c:pt>
                <c:pt idx="52">
                  <c:v>99.51229664193923</c:v>
                </c:pt>
                <c:pt idx="53">
                  <c:v>99.3069190346705</c:v>
                </c:pt>
                <c:pt idx="54">
                  <c:v>99.279535353701348</c:v>
                </c:pt>
                <c:pt idx="55">
                  <c:v>99.343887003978892</c:v>
                </c:pt>
                <c:pt idx="56">
                  <c:v>99.525988482423827</c:v>
                </c:pt>
                <c:pt idx="57">
                  <c:v>99.12988353720489</c:v>
                </c:pt>
                <c:pt idx="58">
                  <c:v>99.08784958691723</c:v>
                </c:pt>
                <c:pt idx="59">
                  <c:v>99.334302715639694</c:v>
                </c:pt>
                <c:pt idx="60">
                  <c:v>99.38907007757804</c:v>
                </c:pt>
                <c:pt idx="61">
                  <c:v>99.484912960970092</c:v>
                </c:pt>
                <c:pt idx="62">
                  <c:v>99.416453758547192</c:v>
                </c:pt>
                <c:pt idx="63">
                  <c:v>99.605401157234439</c:v>
                </c:pt>
                <c:pt idx="64">
                  <c:v>100.55287651876748</c:v>
                </c:pt>
                <c:pt idx="65">
                  <c:v>100.13801375208466</c:v>
                </c:pt>
                <c:pt idx="66">
                  <c:v>100.39268198509787</c:v>
                </c:pt>
                <c:pt idx="67">
                  <c:v>100.45703363537541</c:v>
                </c:pt>
                <c:pt idx="68">
                  <c:v>100.35297564769257</c:v>
                </c:pt>
                <c:pt idx="69">
                  <c:v>100.61585898499655</c:v>
                </c:pt>
                <c:pt idx="70">
                  <c:v>101.80157237096131</c:v>
                </c:pt>
                <c:pt idx="71">
                  <c:v>102.10279286162211</c:v>
                </c:pt>
                <c:pt idx="72">
                  <c:v>102.30817046889082</c:v>
                </c:pt>
                <c:pt idx="73">
                  <c:v>102.66141995339304</c:v>
                </c:pt>
                <c:pt idx="74">
                  <c:v>103.04479148696132</c:v>
                </c:pt>
                <c:pt idx="75">
                  <c:v>102.75726283678509</c:v>
                </c:pt>
                <c:pt idx="76">
                  <c:v>102.30543210079389</c:v>
                </c:pt>
                <c:pt idx="77">
                  <c:v>102.04528713158685</c:v>
                </c:pt>
                <c:pt idx="78">
                  <c:v>102.48342602709346</c:v>
                </c:pt>
                <c:pt idx="79">
                  <c:v>103.20909357277628</c:v>
                </c:pt>
                <c:pt idx="80">
                  <c:v>103.26523011876309</c:v>
                </c:pt>
                <c:pt idx="81">
                  <c:v>102.83941387969259</c:v>
                </c:pt>
                <c:pt idx="82">
                  <c:v>102.57926891048554</c:v>
                </c:pt>
                <c:pt idx="83">
                  <c:v>102.57926891048554</c:v>
                </c:pt>
                <c:pt idx="84">
                  <c:v>102.31912394127849</c:v>
                </c:pt>
                <c:pt idx="85">
                  <c:v>102.11374633400976</c:v>
                </c:pt>
                <c:pt idx="86">
                  <c:v>101.98915058560007</c:v>
                </c:pt>
                <c:pt idx="87">
                  <c:v>101.44284615026527</c:v>
                </c:pt>
                <c:pt idx="88">
                  <c:v>101.38807878832694</c:v>
                </c:pt>
                <c:pt idx="89">
                  <c:v>101.05947461669699</c:v>
                </c:pt>
                <c:pt idx="90">
                  <c:v>100.99101541427409</c:v>
                </c:pt>
                <c:pt idx="91">
                  <c:v>101.04578277621242</c:v>
                </c:pt>
                <c:pt idx="92">
                  <c:v>100.77194596652079</c:v>
                </c:pt>
                <c:pt idx="93">
                  <c:v>100.29546991765734</c:v>
                </c:pt>
                <c:pt idx="94">
                  <c:v>100.56656835925207</c:v>
                </c:pt>
                <c:pt idx="95">
                  <c:v>100.45703363537542</c:v>
                </c:pt>
                <c:pt idx="96">
                  <c:v>100.67610308312872</c:v>
                </c:pt>
                <c:pt idx="97">
                  <c:v>100.59395204022123</c:v>
                </c:pt>
                <c:pt idx="98">
                  <c:v>100.34749891149877</c:v>
                </c:pt>
                <c:pt idx="99">
                  <c:v>100.40226627343709</c:v>
                </c:pt>
                <c:pt idx="100">
                  <c:v>100.0188947398688</c:v>
                </c:pt>
                <c:pt idx="101">
                  <c:v>100.2379641876221</c:v>
                </c:pt>
                <c:pt idx="102">
                  <c:v>99.964127377930481</c:v>
                </c:pt>
                <c:pt idx="103">
                  <c:v>99.699874856578049</c:v>
                </c:pt>
                <c:pt idx="104">
                  <c:v>99.717674249208017</c:v>
                </c:pt>
                <c:pt idx="105">
                  <c:v>99.662906887269699</c:v>
                </c:pt>
                <c:pt idx="106">
                  <c:v>99.567064003877618</c:v>
                </c:pt>
                <c:pt idx="107">
                  <c:v>99.539680322908467</c:v>
                </c:pt>
                <c:pt idx="108">
                  <c:v>99.128925108371021</c:v>
                </c:pt>
                <c:pt idx="109">
                  <c:v>99.280904537749876</c:v>
                </c:pt>
                <c:pt idx="110">
                  <c:v>99.75874977066178</c:v>
                </c:pt>
                <c:pt idx="111">
                  <c:v>99.881976335023026</c:v>
                </c:pt>
                <c:pt idx="112">
                  <c:v>100.00520289938427</c:v>
                </c:pt>
                <c:pt idx="113">
                  <c:v>99.758749770661794</c:v>
                </c:pt>
                <c:pt idx="114">
                  <c:v>99.657430151075886</c:v>
                </c:pt>
                <c:pt idx="115">
                  <c:v>99.881976335023026</c:v>
                </c:pt>
                <c:pt idx="116">
                  <c:v>99.923051856476775</c:v>
                </c:pt>
                <c:pt idx="117">
                  <c:v>100.04627842083798</c:v>
                </c:pt>
                <c:pt idx="118">
                  <c:v>100.27903970907586</c:v>
                </c:pt>
                <c:pt idx="119">
                  <c:v>100.19688866616839</c:v>
                </c:pt>
                <c:pt idx="120">
                  <c:v>100.42964995440626</c:v>
                </c:pt>
                <c:pt idx="121">
                  <c:v>100.32011523052961</c:v>
                </c:pt>
                <c:pt idx="122">
                  <c:v>101.54142740175429</c:v>
                </c:pt>
                <c:pt idx="123">
                  <c:v>101.45653799074987</c:v>
                </c:pt>
                <c:pt idx="124">
                  <c:v>101.49761351220361</c:v>
                </c:pt>
                <c:pt idx="125">
                  <c:v>101.77145032189526</c:v>
                </c:pt>
                <c:pt idx="126">
                  <c:v>101.51130535268821</c:v>
                </c:pt>
                <c:pt idx="127">
                  <c:v>101.56607271462654</c:v>
                </c:pt>
                <c:pt idx="128">
                  <c:v>101.60714823608026</c:v>
                </c:pt>
                <c:pt idx="129">
                  <c:v>101.68929927898775</c:v>
                </c:pt>
                <c:pt idx="130">
                  <c:v>101.71668295995693</c:v>
                </c:pt>
                <c:pt idx="131">
                  <c:v>101.81252584334898</c:v>
                </c:pt>
                <c:pt idx="132">
                  <c:v>102.08636265304062</c:v>
                </c:pt>
                <c:pt idx="133">
                  <c:v>102.02064181871462</c:v>
                </c:pt>
                <c:pt idx="134">
                  <c:v>101.71394459186</c:v>
                </c:pt>
                <c:pt idx="135">
                  <c:v>102.11648470210669</c:v>
                </c:pt>
                <c:pt idx="136">
                  <c:v>102.401274984186</c:v>
                </c:pt>
                <c:pt idx="137">
                  <c:v>102.31912394127852</c:v>
                </c:pt>
                <c:pt idx="138">
                  <c:v>101.98367384940626</c:v>
                </c:pt>
                <c:pt idx="139">
                  <c:v>102.04528713158687</c:v>
                </c:pt>
                <c:pt idx="140">
                  <c:v>102.12743817449437</c:v>
                </c:pt>
                <c:pt idx="141">
                  <c:v>101.94944424819479</c:v>
                </c:pt>
                <c:pt idx="142">
                  <c:v>102.05897897207146</c:v>
                </c:pt>
                <c:pt idx="143">
                  <c:v>102.14934511926968</c:v>
                </c:pt>
                <c:pt idx="144">
                  <c:v>102.48479521114194</c:v>
                </c:pt>
                <c:pt idx="145">
                  <c:v>102.04528713158687</c:v>
                </c:pt>
                <c:pt idx="146">
                  <c:v>101.98504303345472</c:v>
                </c:pt>
                <c:pt idx="147">
                  <c:v>101.93575240771021</c:v>
                </c:pt>
                <c:pt idx="148">
                  <c:v>101.90152280649875</c:v>
                </c:pt>
                <c:pt idx="149">
                  <c:v>101.77145032189523</c:v>
                </c:pt>
                <c:pt idx="150">
                  <c:v>102.00147324203621</c:v>
                </c:pt>
                <c:pt idx="151">
                  <c:v>101.99051976964853</c:v>
                </c:pt>
                <c:pt idx="152">
                  <c:v>101.6550696777763</c:v>
                </c:pt>
                <c:pt idx="153">
                  <c:v>101.78103461023444</c:v>
                </c:pt>
                <c:pt idx="154">
                  <c:v>101.80431073905822</c:v>
                </c:pt>
                <c:pt idx="155">
                  <c:v>101.66054641397011</c:v>
                </c:pt>
                <c:pt idx="156">
                  <c:v>101.52362800912431</c:v>
                </c:pt>
                <c:pt idx="157">
                  <c:v>101.45379962265294</c:v>
                </c:pt>
                <c:pt idx="158">
                  <c:v>101.64822375753398</c:v>
                </c:pt>
                <c:pt idx="159">
                  <c:v>101.97682792916395</c:v>
                </c:pt>
                <c:pt idx="160">
                  <c:v>101.90836872674103</c:v>
                </c:pt>
                <c:pt idx="161">
                  <c:v>101.66602315016392</c:v>
                </c:pt>
                <c:pt idx="162">
                  <c:v>101.74406664092604</c:v>
                </c:pt>
                <c:pt idx="163">
                  <c:v>101.64685457348551</c:v>
                </c:pt>
                <c:pt idx="164">
                  <c:v>101.53868903365731</c:v>
                </c:pt>
                <c:pt idx="165">
                  <c:v>101.82621768383353</c:v>
                </c:pt>
                <c:pt idx="166">
                  <c:v>101.7029911194723</c:v>
                </c:pt>
                <c:pt idx="167">
                  <c:v>101.82621768383353</c:v>
                </c:pt>
                <c:pt idx="168">
                  <c:v>101.79472645071898</c:v>
                </c:pt>
                <c:pt idx="169">
                  <c:v>101.483921671719</c:v>
                </c:pt>
                <c:pt idx="170">
                  <c:v>101.50172106434894</c:v>
                </c:pt>
                <c:pt idx="171">
                  <c:v>101.47022983123441</c:v>
                </c:pt>
                <c:pt idx="172">
                  <c:v>101.52499719317275</c:v>
                </c:pt>
                <c:pt idx="173">
                  <c:v>100.5939520402212</c:v>
                </c:pt>
                <c:pt idx="174">
                  <c:v>100.35023727959565</c:v>
                </c:pt>
                <c:pt idx="175">
                  <c:v>99.877868782877584</c:v>
                </c:pt>
                <c:pt idx="176">
                  <c:v>99.936743696961273</c:v>
                </c:pt>
                <c:pt idx="177">
                  <c:v>99.940851249106643</c:v>
                </c:pt>
                <c:pt idx="178">
                  <c:v>99.925790224573603</c:v>
                </c:pt>
                <c:pt idx="179">
                  <c:v>100.05038597298329</c:v>
                </c:pt>
                <c:pt idx="180">
                  <c:v>100.55287651876743</c:v>
                </c:pt>
                <c:pt idx="181">
                  <c:v>101.00333807071019</c:v>
                </c:pt>
                <c:pt idx="182">
                  <c:v>100.66241124264408</c:v>
                </c:pt>
                <c:pt idx="183">
                  <c:v>100.6583036904987</c:v>
                </c:pt>
                <c:pt idx="184">
                  <c:v>100.7171786045824</c:v>
                </c:pt>
                <c:pt idx="185">
                  <c:v>100.82671332845905</c:v>
                </c:pt>
                <c:pt idx="186">
                  <c:v>100.55287651876741</c:v>
                </c:pt>
                <c:pt idx="187">
                  <c:v>100.73087044506696</c:v>
                </c:pt>
                <c:pt idx="188">
                  <c:v>100.82671332845904</c:v>
                </c:pt>
                <c:pt idx="189">
                  <c:v>100.83492843274978</c:v>
                </c:pt>
                <c:pt idx="190">
                  <c:v>100.96363173330484</c:v>
                </c:pt>
                <c:pt idx="191">
                  <c:v>101.04578277621232</c:v>
                </c:pt>
                <c:pt idx="192">
                  <c:v>101.04578277621232</c:v>
                </c:pt>
                <c:pt idx="193">
                  <c:v>101.06358216884229</c:v>
                </c:pt>
                <c:pt idx="194">
                  <c:v>101.07316645718147</c:v>
                </c:pt>
                <c:pt idx="195">
                  <c:v>101.579764555111</c:v>
                </c:pt>
                <c:pt idx="196">
                  <c:v>101.69751438327839</c:v>
                </c:pt>
                <c:pt idx="197">
                  <c:v>101.54416576985109</c:v>
                </c:pt>
                <c:pt idx="198">
                  <c:v>101.49829810422773</c:v>
                </c:pt>
                <c:pt idx="199">
                  <c:v>102.09731612542818</c:v>
                </c:pt>
                <c:pt idx="200">
                  <c:v>102.05897897207136</c:v>
                </c:pt>
                <c:pt idx="201">
                  <c:v>102.35746109463523</c:v>
                </c:pt>
                <c:pt idx="202">
                  <c:v>102.422497336937</c:v>
                </c:pt>
                <c:pt idx="203">
                  <c:v>102.84187841097976</c:v>
                </c:pt>
                <c:pt idx="204">
                  <c:v>103.2132011249216</c:v>
                </c:pt>
                <c:pt idx="205">
                  <c:v>103.32958176904054</c:v>
                </c:pt>
                <c:pt idx="206">
                  <c:v>103.08148561945993</c:v>
                </c:pt>
                <c:pt idx="207">
                  <c:v>102.65525862517489</c:v>
                </c:pt>
                <c:pt idx="208">
                  <c:v>102.70660302699207</c:v>
                </c:pt>
                <c:pt idx="209">
                  <c:v>102.94963319559339</c:v>
                </c:pt>
                <c:pt idx="210">
                  <c:v>102.82640663123216</c:v>
                </c:pt>
                <c:pt idx="211">
                  <c:v>102.40195957621013</c:v>
                </c:pt>
                <c:pt idx="212">
                  <c:v>102.50985127922864</c:v>
                </c:pt>
                <c:pt idx="213">
                  <c:v>102.68058853007138</c:v>
                </c:pt>
                <c:pt idx="214">
                  <c:v>102.7120797631859</c:v>
                </c:pt>
                <c:pt idx="215">
                  <c:v>102.60254503930925</c:v>
                </c:pt>
                <c:pt idx="216">
                  <c:v>102.77643141346341</c:v>
                </c:pt>
                <c:pt idx="217">
                  <c:v>102.39169069584668</c:v>
                </c:pt>
                <c:pt idx="218">
                  <c:v>102.57310758226737</c:v>
                </c:pt>
                <c:pt idx="219">
                  <c:v>102.45878071422111</c:v>
                </c:pt>
                <c:pt idx="220">
                  <c:v>102.26435657934006</c:v>
                </c:pt>
                <c:pt idx="221">
                  <c:v>101.93164485556473</c:v>
                </c:pt>
                <c:pt idx="222">
                  <c:v>102.06308652421671</c:v>
                </c:pt>
                <c:pt idx="223">
                  <c:v>101.55826836555018</c:v>
                </c:pt>
                <c:pt idx="224">
                  <c:v>101.18858867246648</c:v>
                </c:pt>
                <c:pt idx="225">
                  <c:v>101.5523808741418</c:v>
                </c:pt>
                <c:pt idx="226">
                  <c:v>101.86455483719024</c:v>
                </c:pt>
                <c:pt idx="227">
                  <c:v>101.72421347222328</c:v>
                </c:pt>
                <c:pt idx="228">
                  <c:v>101.78788053047658</c:v>
                </c:pt>
                <c:pt idx="229">
                  <c:v>101.83306360407569</c:v>
                </c:pt>
                <c:pt idx="230">
                  <c:v>101.93849077580697</c:v>
                </c:pt>
                <c:pt idx="231">
                  <c:v>101.64548538943691</c:v>
                </c:pt>
                <c:pt idx="232">
                  <c:v>101.53868903365716</c:v>
                </c:pt>
                <c:pt idx="233">
                  <c:v>101.77555787404043</c:v>
                </c:pt>
                <c:pt idx="234">
                  <c:v>101.90563035864396</c:v>
                </c:pt>
                <c:pt idx="235">
                  <c:v>101.90836872674089</c:v>
                </c:pt>
                <c:pt idx="236">
                  <c:v>102.14797593522107</c:v>
                </c:pt>
                <c:pt idx="237">
                  <c:v>101.96998200892149</c:v>
                </c:pt>
                <c:pt idx="238">
                  <c:v>102.74357099630036</c:v>
                </c:pt>
                <c:pt idx="239">
                  <c:v>102.73398670796115</c:v>
                </c:pt>
                <c:pt idx="240">
                  <c:v>102.81203019872328</c:v>
                </c:pt>
                <c:pt idx="241">
                  <c:v>102.6946911257704</c:v>
                </c:pt>
                <c:pt idx="242">
                  <c:v>102.65005572579066</c:v>
                </c:pt>
                <c:pt idx="243">
                  <c:v>102.9959116164312</c:v>
                </c:pt>
                <c:pt idx="244">
                  <c:v>103.22278541326072</c:v>
                </c:pt>
                <c:pt idx="245">
                  <c:v>103.22415459730919</c:v>
                </c:pt>
                <c:pt idx="246">
                  <c:v>103.17897152371008</c:v>
                </c:pt>
                <c:pt idx="247">
                  <c:v>103.48703793461316</c:v>
                </c:pt>
                <c:pt idx="248">
                  <c:v>103.63627899589508</c:v>
                </c:pt>
                <c:pt idx="249">
                  <c:v>103.72938351119026</c:v>
                </c:pt>
                <c:pt idx="250">
                  <c:v>104.11275504475856</c:v>
                </c:pt>
                <c:pt idx="251">
                  <c:v>104.52351025929599</c:v>
                </c:pt>
                <c:pt idx="252">
                  <c:v>104.27158039437968</c:v>
                </c:pt>
                <c:pt idx="253">
                  <c:v>104.03813451411756</c:v>
                </c:pt>
                <c:pt idx="254">
                  <c:v>103.67461614925192</c:v>
                </c:pt>
                <c:pt idx="255">
                  <c:v>103.63354062779817</c:v>
                </c:pt>
                <c:pt idx="256">
                  <c:v>103.29124461568362</c:v>
                </c:pt>
                <c:pt idx="257">
                  <c:v>102.7161873153312</c:v>
                </c:pt>
                <c:pt idx="258">
                  <c:v>102.65457403315058</c:v>
                </c:pt>
                <c:pt idx="259">
                  <c:v>102.63403627242371</c:v>
                </c:pt>
                <c:pt idx="260">
                  <c:v>102.2780484198246</c:v>
                </c:pt>
                <c:pt idx="261">
                  <c:v>102.08636265304045</c:v>
                </c:pt>
                <c:pt idx="262">
                  <c:v>101.86729320528715</c:v>
                </c:pt>
                <c:pt idx="263">
                  <c:v>101.95902853653384</c:v>
                </c:pt>
              </c:numCache>
            </c:numRef>
          </c:val>
          <c:smooth val="0"/>
          <c:extLst>
            <c:ext xmlns:c16="http://schemas.microsoft.com/office/drawing/2014/chart" uri="{C3380CC4-5D6E-409C-BE32-E72D297353CC}">
              <c16:uniqueId val="{00000000-610E-4E11-9B96-CB188C2DFCB9}"/>
            </c:ext>
          </c:extLst>
        </c:ser>
        <c:ser>
          <c:idx val="10"/>
          <c:order val="10"/>
          <c:tx>
            <c:strRef>
              <c:f>'Currency Chart'!$Z$5</c:f>
              <c:strCache>
                <c:ptCount val="1"/>
                <c:pt idx="0">
                  <c:v>USD Index</c:v>
                </c:pt>
              </c:strCache>
            </c:strRef>
          </c:tx>
          <c:spPr>
            <a:ln w="28575" cap="rnd">
              <a:solidFill>
                <a:srgbClr val="C00000"/>
              </a:solidFill>
              <a:round/>
            </a:ln>
            <a:effectLst/>
          </c:spPr>
          <c:marker>
            <c:symbol val="none"/>
          </c:marker>
          <c:cat>
            <c:numRef>
              <c:f>'Currency Chart'!$O$6:$O$291</c:f>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f>'Currency Chart'!$Z$6:$Z$291</c:f>
              <c:numCache>
                <c:formatCode>0</c:formatCode>
                <c:ptCount val="286"/>
                <c:pt idx="0" formatCode="General">
                  <c:v>100</c:v>
                </c:pt>
                <c:pt idx="1">
                  <c:v>100</c:v>
                </c:pt>
                <c:pt idx="2">
                  <c:v>99.924391518507406</c:v>
                </c:pt>
                <c:pt idx="3">
                  <c:v>99.442943393708944</c:v>
                </c:pt>
                <c:pt idx="4">
                  <c:v>99.547461000478123</c:v>
                </c:pt>
                <c:pt idx="5">
                  <c:v>99.876580272857666</c:v>
                </c:pt>
                <c:pt idx="6">
                  <c:v>100.17901419882807</c:v>
                </c:pt>
                <c:pt idx="7">
                  <c:v>100.58707762100137</c:v>
                </c:pt>
                <c:pt idx="8">
                  <c:v>100.17345475165951</c:v>
                </c:pt>
                <c:pt idx="9">
                  <c:v>100.46476978329275</c:v>
                </c:pt>
                <c:pt idx="10">
                  <c:v>100.33579060898185</c:v>
                </c:pt>
                <c:pt idx="11">
                  <c:v>100.9284276771518</c:v>
                </c:pt>
                <c:pt idx="12">
                  <c:v>100.92064445111579</c:v>
                </c:pt>
                <c:pt idx="13">
                  <c:v>100.62376997231397</c:v>
                </c:pt>
                <c:pt idx="14">
                  <c:v>100.59819651533851</c:v>
                </c:pt>
                <c:pt idx="15">
                  <c:v>100.21570655014065</c:v>
                </c:pt>
                <c:pt idx="16">
                  <c:v>100.33467871954814</c:v>
                </c:pt>
                <c:pt idx="17">
                  <c:v>100.5047978029065</c:v>
                </c:pt>
                <c:pt idx="18">
                  <c:v>100.25907023805554</c:v>
                </c:pt>
                <c:pt idx="19">
                  <c:v>100.78944149793746</c:v>
                </c:pt>
                <c:pt idx="20">
                  <c:v>100.57595872666423</c:v>
                </c:pt>
                <c:pt idx="21">
                  <c:v>100.71939246361343</c:v>
                </c:pt>
                <c:pt idx="22">
                  <c:v>101.15970067936445</c:v>
                </c:pt>
                <c:pt idx="23">
                  <c:v>101.40098068648055</c:v>
                </c:pt>
                <c:pt idx="24">
                  <c:v>101.37207156120397</c:v>
                </c:pt>
                <c:pt idx="25">
                  <c:v>101.77012797847382</c:v>
                </c:pt>
                <c:pt idx="26">
                  <c:v>101.22863782425478</c:v>
                </c:pt>
                <c:pt idx="27">
                  <c:v>101.10855376541359</c:v>
                </c:pt>
                <c:pt idx="28">
                  <c:v>100.5581684957248</c:v>
                </c:pt>
                <c:pt idx="29">
                  <c:v>100.48256001423221</c:v>
                </c:pt>
                <c:pt idx="30">
                  <c:v>100.53370692818309</c:v>
                </c:pt>
                <c:pt idx="31">
                  <c:v>100.60375596250714</c:v>
                </c:pt>
                <c:pt idx="32">
                  <c:v>100.60375596250714</c:v>
                </c:pt>
                <c:pt idx="33">
                  <c:v>100.63600075608487</c:v>
                </c:pt>
                <c:pt idx="34">
                  <c:v>101.12745588578676</c:v>
                </c:pt>
                <c:pt idx="35">
                  <c:v>100.72828757908319</c:v>
                </c:pt>
                <c:pt idx="36">
                  <c:v>100.47477678819624</c:v>
                </c:pt>
                <c:pt idx="37">
                  <c:v>100.47477678819624</c:v>
                </c:pt>
                <c:pt idx="38">
                  <c:v>100.08116792866123</c:v>
                </c:pt>
                <c:pt idx="39">
                  <c:v>100.25795834862186</c:v>
                </c:pt>
                <c:pt idx="40">
                  <c:v>100.26574157465787</c:v>
                </c:pt>
                <c:pt idx="41">
                  <c:v>100.21904221844184</c:v>
                </c:pt>
                <c:pt idx="42">
                  <c:v>101.0473998465593</c:v>
                </c:pt>
                <c:pt idx="43">
                  <c:v>101.22530215595366</c:v>
                </c:pt>
                <c:pt idx="44">
                  <c:v>100.94288223979012</c:v>
                </c:pt>
                <c:pt idx="45">
                  <c:v>101.12300832805191</c:v>
                </c:pt>
                <c:pt idx="46">
                  <c:v>101.88354070071277</c:v>
                </c:pt>
                <c:pt idx="47">
                  <c:v>102.26825444477807</c:v>
                </c:pt>
                <c:pt idx="48">
                  <c:v>102.64184929450622</c:v>
                </c:pt>
                <c:pt idx="49">
                  <c:v>102.24712854553749</c:v>
                </c:pt>
                <c:pt idx="50">
                  <c:v>102.09702347198599</c:v>
                </c:pt>
                <c:pt idx="51">
                  <c:v>101.64893203019896</c:v>
                </c:pt>
                <c:pt idx="52">
                  <c:v>101.93691139353106</c:v>
                </c:pt>
                <c:pt idx="53">
                  <c:v>102.10814236632312</c:v>
                </c:pt>
                <c:pt idx="54">
                  <c:v>102.14372282820199</c:v>
                </c:pt>
                <c:pt idx="55">
                  <c:v>101.67339359774067</c:v>
                </c:pt>
                <c:pt idx="56">
                  <c:v>102.14038715990085</c:v>
                </c:pt>
                <c:pt idx="57">
                  <c:v>102.2037648576226</c:v>
                </c:pt>
                <c:pt idx="58">
                  <c:v>102.00696042785511</c:v>
                </c:pt>
                <c:pt idx="59">
                  <c:v>102.66742275148164</c:v>
                </c:pt>
                <c:pt idx="60">
                  <c:v>102.88090552275487</c:v>
                </c:pt>
                <c:pt idx="61">
                  <c:v>102.88090552275487</c:v>
                </c:pt>
                <c:pt idx="62">
                  <c:v>103.14553520797897</c:v>
                </c:pt>
                <c:pt idx="63">
                  <c:v>103.34345152718018</c:v>
                </c:pt>
                <c:pt idx="64">
                  <c:v>103.73594849728147</c:v>
                </c:pt>
                <c:pt idx="65">
                  <c:v>103.66367568409002</c:v>
                </c:pt>
                <c:pt idx="66">
                  <c:v>103.32677318567447</c:v>
                </c:pt>
                <c:pt idx="67">
                  <c:v>103.43017890300995</c:v>
                </c:pt>
                <c:pt idx="68">
                  <c:v>102.95540211481375</c:v>
                </c:pt>
                <c:pt idx="69">
                  <c:v>102.66631086204792</c:v>
                </c:pt>
                <c:pt idx="70">
                  <c:v>102.7997375940937</c:v>
                </c:pt>
                <c:pt idx="71">
                  <c:v>102.35942937834267</c:v>
                </c:pt>
                <c:pt idx="72">
                  <c:v>102.47506587944899</c:v>
                </c:pt>
                <c:pt idx="73">
                  <c:v>102.44726864360614</c:v>
                </c:pt>
                <c:pt idx="74">
                  <c:v>102.12926826556374</c:v>
                </c:pt>
                <c:pt idx="75">
                  <c:v>101.94914217730195</c:v>
                </c:pt>
                <c:pt idx="76">
                  <c:v>101.94914217730195</c:v>
                </c:pt>
                <c:pt idx="77">
                  <c:v>101.80014899318418</c:v>
                </c:pt>
                <c:pt idx="78">
                  <c:v>101.25865883896512</c:v>
                </c:pt>
                <c:pt idx="79">
                  <c:v>101.44990382156405</c:v>
                </c:pt>
                <c:pt idx="80">
                  <c:v>101.35428133026458</c:v>
                </c:pt>
                <c:pt idx="81">
                  <c:v>101.5521976494658</c:v>
                </c:pt>
                <c:pt idx="82">
                  <c:v>101.02516205788503</c:v>
                </c:pt>
                <c:pt idx="83">
                  <c:v>101.02516205788503</c:v>
                </c:pt>
                <c:pt idx="84">
                  <c:v>100.96734380733187</c:v>
                </c:pt>
                <c:pt idx="85">
                  <c:v>101.08075652957078</c:v>
                </c:pt>
                <c:pt idx="86">
                  <c:v>100.74718969945634</c:v>
                </c:pt>
                <c:pt idx="87">
                  <c:v>100.75274914662492</c:v>
                </c:pt>
                <c:pt idx="88">
                  <c:v>101.49326750947891</c:v>
                </c:pt>
                <c:pt idx="89">
                  <c:v>101.12078454918448</c:v>
                </c:pt>
                <c:pt idx="90">
                  <c:v>101.50216262494862</c:v>
                </c:pt>
                <c:pt idx="91">
                  <c:v>101.52440041362293</c:v>
                </c:pt>
                <c:pt idx="92">
                  <c:v>101.12745588578676</c:v>
                </c:pt>
                <c:pt idx="93">
                  <c:v>100.32911927237961</c:v>
                </c:pt>
                <c:pt idx="94">
                  <c:v>100.3057695942716</c:v>
                </c:pt>
                <c:pt idx="95">
                  <c:v>100.22682544447785</c:v>
                </c:pt>
                <c:pt idx="96">
                  <c:v>100.86282620056265</c:v>
                </c:pt>
                <c:pt idx="97">
                  <c:v>100.90618988847753</c:v>
                </c:pt>
                <c:pt idx="98">
                  <c:v>100.42696554254648</c:v>
                </c:pt>
                <c:pt idx="99">
                  <c:v>100.25239890145328</c:v>
                </c:pt>
                <c:pt idx="100">
                  <c:v>99.792076675895387</c:v>
                </c:pt>
                <c:pt idx="101">
                  <c:v>100.28241991616358</c:v>
                </c:pt>
                <c:pt idx="102">
                  <c:v>99.856566263050851</c:v>
                </c:pt>
                <c:pt idx="103">
                  <c:v>100.08895115469721</c:v>
                </c:pt>
                <c:pt idx="104">
                  <c:v>99.896594282664566</c:v>
                </c:pt>
                <c:pt idx="105">
                  <c:v>99.668656948753053</c:v>
                </c:pt>
                <c:pt idx="106">
                  <c:v>100.11674839054008</c:v>
                </c:pt>
                <c:pt idx="107">
                  <c:v>100.03780424074634</c:v>
                </c:pt>
                <c:pt idx="108">
                  <c:v>100.10451760676924</c:v>
                </c:pt>
                <c:pt idx="109">
                  <c:v>100.10451760676924</c:v>
                </c:pt>
                <c:pt idx="110">
                  <c:v>99.882139720026302</c:v>
                </c:pt>
                <c:pt idx="111">
                  <c:v>99.968867095856055</c:v>
                </c:pt>
                <c:pt idx="112">
                  <c:v>100.63933642438602</c:v>
                </c:pt>
                <c:pt idx="113">
                  <c:v>100.22126599730929</c:v>
                </c:pt>
                <c:pt idx="114">
                  <c:v>100.01445456263835</c:v>
                </c:pt>
                <c:pt idx="115">
                  <c:v>100.15455263128639</c:v>
                </c:pt>
                <c:pt idx="116">
                  <c:v>100.20347576636985</c:v>
                </c:pt>
                <c:pt idx="117">
                  <c:v>100.15344074185268</c:v>
                </c:pt>
                <c:pt idx="118">
                  <c:v>100.68714767003574</c:v>
                </c:pt>
                <c:pt idx="119">
                  <c:v>100.65045531872315</c:v>
                </c:pt>
                <c:pt idx="120">
                  <c:v>100.66602177079514</c:v>
                </c:pt>
                <c:pt idx="121">
                  <c:v>101.32537220498796</c:v>
                </c:pt>
                <c:pt idx="122">
                  <c:v>102.17040817461111</c:v>
                </c:pt>
                <c:pt idx="123">
                  <c:v>102.54400302433925</c:v>
                </c:pt>
                <c:pt idx="124">
                  <c:v>102.18152706894827</c:v>
                </c:pt>
                <c:pt idx="125">
                  <c:v>102.02252687992706</c:v>
                </c:pt>
                <c:pt idx="126">
                  <c:v>102.07367379387793</c:v>
                </c:pt>
                <c:pt idx="127">
                  <c:v>102.08701646708249</c:v>
                </c:pt>
                <c:pt idx="128">
                  <c:v>102.12815637612995</c:v>
                </c:pt>
                <c:pt idx="129">
                  <c:v>102.16818439574369</c:v>
                </c:pt>
                <c:pt idx="130">
                  <c:v>102.34831048400548</c:v>
                </c:pt>
                <c:pt idx="131">
                  <c:v>102.77861169485307</c:v>
                </c:pt>
                <c:pt idx="132">
                  <c:v>102.95762589368113</c:v>
                </c:pt>
                <c:pt idx="133">
                  <c:v>102.54511491377298</c:v>
                </c:pt>
                <c:pt idx="134">
                  <c:v>102.52954846170097</c:v>
                </c:pt>
                <c:pt idx="135">
                  <c:v>102.90091953256167</c:v>
                </c:pt>
                <c:pt idx="136">
                  <c:v>103.0098846970657</c:v>
                </c:pt>
                <c:pt idx="137">
                  <c:v>102.75748579561247</c:v>
                </c:pt>
                <c:pt idx="138">
                  <c:v>102.43837352813634</c:v>
                </c:pt>
                <c:pt idx="139">
                  <c:v>102.58403104395296</c:v>
                </c:pt>
                <c:pt idx="140">
                  <c:v>103.12996875590689</c:v>
                </c:pt>
                <c:pt idx="141">
                  <c:v>102.74970256957646</c:v>
                </c:pt>
                <c:pt idx="142">
                  <c:v>102.98764690839141</c:v>
                </c:pt>
                <c:pt idx="143">
                  <c:v>103.05769594271545</c:v>
                </c:pt>
                <c:pt idx="144">
                  <c:v>103.28452138719328</c:v>
                </c:pt>
                <c:pt idx="145">
                  <c:v>103.37569632075788</c:v>
                </c:pt>
                <c:pt idx="146">
                  <c:v>103.13219253477436</c:v>
                </c:pt>
                <c:pt idx="147">
                  <c:v>103.20780101626696</c:v>
                </c:pt>
                <c:pt idx="148">
                  <c:v>103.30787106530127</c:v>
                </c:pt>
                <c:pt idx="149">
                  <c:v>103.01544414423429</c:v>
                </c:pt>
                <c:pt idx="150">
                  <c:v>102.77416413711821</c:v>
                </c:pt>
                <c:pt idx="151">
                  <c:v>102.65185629940959</c:v>
                </c:pt>
                <c:pt idx="152">
                  <c:v>102.14261093876826</c:v>
                </c:pt>
                <c:pt idx="153">
                  <c:v>102.48729666321982</c:v>
                </c:pt>
                <c:pt idx="154">
                  <c:v>102.34719859457176</c:v>
                </c:pt>
                <c:pt idx="155">
                  <c:v>102.38389094588436</c:v>
                </c:pt>
                <c:pt idx="156">
                  <c:v>102.59403804885643</c:v>
                </c:pt>
                <c:pt idx="157">
                  <c:v>102.56512892357986</c:v>
                </c:pt>
                <c:pt idx="158">
                  <c:v>103.18333944872523</c:v>
                </c:pt>
                <c:pt idx="159">
                  <c:v>103.34456341661385</c:v>
                </c:pt>
                <c:pt idx="160">
                  <c:v>103.46687125432248</c:v>
                </c:pt>
                <c:pt idx="161">
                  <c:v>103.31898995963842</c:v>
                </c:pt>
                <c:pt idx="162">
                  <c:v>103.44463346564818</c:v>
                </c:pt>
                <c:pt idx="163">
                  <c:v>102.86978662841769</c:v>
                </c:pt>
                <c:pt idx="164">
                  <c:v>102.9920944661263</c:v>
                </c:pt>
                <c:pt idx="165">
                  <c:v>103.55026296185108</c:v>
                </c:pt>
                <c:pt idx="166">
                  <c:v>103.55693429845336</c:v>
                </c:pt>
                <c:pt idx="167">
                  <c:v>104.03727053381812</c:v>
                </c:pt>
                <c:pt idx="168">
                  <c:v>103.95721449459066</c:v>
                </c:pt>
                <c:pt idx="169">
                  <c:v>103.35901797925214</c:v>
                </c:pt>
                <c:pt idx="170">
                  <c:v>103.28674516606068</c:v>
                </c:pt>
                <c:pt idx="171">
                  <c:v>103.21113668456809</c:v>
                </c:pt>
                <c:pt idx="172">
                  <c:v>103.47465448035848</c:v>
                </c:pt>
                <c:pt idx="173">
                  <c:v>103.05658405328177</c:v>
                </c:pt>
                <c:pt idx="174">
                  <c:v>103.01989170196919</c:v>
                </c:pt>
                <c:pt idx="175">
                  <c:v>102.98987068725889</c:v>
                </c:pt>
                <c:pt idx="176">
                  <c:v>102.79306625749138</c:v>
                </c:pt>
                <c:pt idx="177">
                  <c:v>102.54400302433928</c:v>
                </c:pt>
                <c:pt idx="178">
                  <c:v>102.33274403193349</c:v>
                </c:pt>
                <c:pt idx="179">
                  <c:v>102.33274403193349</c:v>
                </c:pt>
                <c:pt idx="180">
                  <c:v>102.8631152918154</c:v>
                </c:pt>
                <c:pt idx="181">
                  <c:v>103.01989170196919</c:v>
                </c:pt>
                <c:pt idx="182">
                  <c:v>102.82642294050281</c:v>
                </c:pt>
                <c:pt idx="183">
                  <c:v>102.94094755217542</c:v>
                </c:pt>
                <c:pt idx="184">
                  <c:v>103.04435326951089</c:v>
                </c:pt>
                <c:pt idx="185">
                  <c:v>102.98653501895774</c:v>
                </c:pt>
                <c:pt idx="186">
                  <c:v>102.90314331142913</c:v>
                </c:pt>
                <c:pt idx="187">
                  <c:v>103.33010885397557</c:v>
                </c:pt>
                <c:pt idx="188">
                  <c:v>103.62253577504254</c:v>
                </c:pt>
                <c:pt idx="189">
                  <c:v>103.71259881917342</c:v>
                </c:pt>
                <c:pt idx="190">
                  <c:v>103.63254277994596</c:v>
                </c:pt>
                <c:pt idx="191">
                  <c:v>103.91941025384438</c:v>
                </c:pt>
                <c:pt idx="192">
                  <c:v>103.44240968678076</c:v>
                </c:pt>
                <c:pt idx="193">
                  <c:v>103.76930518029289</c:v>
                </c:pt>
                <c:pt idx="194">
                  <c:v>103.83157098858091</c:v>
                </c:pt>
                <c:pt idx="195">
                  <c:v>104.25742464169365</c:v>
                </c:pt>
                <c:pt idx="196">
                  <c:v>104.89342539777846</c:v>
                </c:pt>
                <c:pt idx="197">
                  <c:v>104.77334133893729</c:v>
                </c:pt>
                <c:pt idx="198">
                  <c:v>104.55652289936292</c:v>
                </c:pt>
                <c:pt idx="199">
                  <c:v>104.2685435360308</c:v>
                </c:pt>
                <c:pt idx="200">
                  <c:v>104.48980953334004</c:v>
                </c:pt>
                <c:pt idx="201">
                  <c:v>104.81336935855103</c:v>
                </c:pt>
                <c:pt idx="202">
                  <c:v>104.75888677629901</c:v>
                </c:pt>
                <c:pt idx="203">
                  <c:v>104.5921033612418</c:v>
                </c:pt>
                <c:pt idx="204">
                  <c:v>104.86896383023677</c:v>
                </c:pt>
                <c:pt idx="205">
                  <c:v>105.09134171697973</c:v>
                </c:pt>
                <c:pt idx="206">
                  <c:v>104.6065579238801</c:v>
                </c:pt>
                <c:pt idx="207">
                  <c:v>104.46868363409949</c:v>
                </c:pt>
                <c:pt idx="208">
                  <c:v>104.4475577348589</c:v>
                </c:pt>
                <c:pt idx="209">
                  <c:v>104.46534796579834</c:v>
                </c:pt>
                <c:pt idx="210">
                  <c:v>104.22184417981481</c:v>
                </c:pt>
                <c:pt idx="211">
                  <c:v>104.02615163948103</c:v>
                </c:pt>
                <c:pt idx="212">
                  <c:v>104.26187219942852</c:v>
                </c:pt>
                <c:pt idx="213">
                  <c:v>104.11955035191303</c:v>
                </c:pt>
                <c:pt idx="214">
                  <c:v>104.30968344507825</c:v>
                </c:pt>
                <c:pt idx="215">
                  <c:v>104.46090040806344</c:v>
                </c:pt>
                <c:pt idx="216">
                  <c:v>104.29745266130739</c:v>
                </c:pt>
                <c:pt idx="217">
                  <c:v>103.78931919009976</c:v>
                </c:pt>
                <c:pt idx="218">
                  <c:v>104.65436916952982</c:v>
                </c:pt>
                <c:pt idx="219">
                  <c:v>104.38306814770343</c:v>
                </c:pt>
                <c:pt idx="220">
                  <c:v>104.61767681821723</c:v>
                </c:pt>
                <c:pt idx="221">
                  <c:v>104.3663898061977</c:v>
                </c:pt>
                <c:pt idx="222">
                  <c:v>104.9034324026819</c:v>
                </c:pt>
                <c:pt idx="223">
                  <c:v>104.8734113879716</c:v>
                </c:pt>
                <c:pt idx="224">
                  <c:v>104.57208935143493</c:v>
                </c:pt>
                <c:pt idx="225">
                  <c:v>104.46757174466573</c:v>
                </c:pt>
                <c:pt idx="226">
                  <c:v>105.46271278784039</c:v>
                </c:pt>
                <c:pt idx="227">
                  <c:v>105.82741252209881</c:v>
                </c:pt>
                <c:pt idx="228">
                  <c:v>105.77181805041309</c:v>
                </c:pt>
                <c:pt idx="229">
                  <c:v>106.08203520241949</c:v>
                </c:pt>
                <c:pt idx="230">
                  <c:v>106.64687503474657</c:v>
                </c:pt>
                <c:pt idx="231">
                  <c:v>106.55014065401339</c:v>
                </c:pt>
                <c:pt idx="232">
                  <c:v>106.23436405483841</c:v>
                </c:pt>
                <c:pt idx="233">
                  <c:v>106.77585420905748</c:v>
                </c:pt>
                <c:pt idx="234">
                  <c:v>107.35070104628799</c:v>
                </c:pt>
                <c:pt idx="235">
                  <c:v>107.28732334856626</c:v>
                </c:pt>
                <c:pt idx="236">
                  <c:v>107.71428889111272</c:v>
                </c:pt>
                <c:pt idx="237">
                  <c:v>107.60198805830753</c:v>
                </c:pt>
                <c:pt idx="238">
                  <c:v>106.84034379621295</c:v>
                </c:pt>
                <c:pt idx="239">
                  <c:v>107.12053993350906</c:v>
                </c:pt>
                <c:pt idx="240">
                  <c:v>106.73471430001007</c:v>
                </c:pt>
                <c:pt idx="241">
                  <c:v>106.77251854075638</c:v>
                </c:pt>
                <c:pt idx="242">
                  <c:v>106.91484038827187</c:v>
                </c:pt>
                <c:pt idx="243">
                  <c:v>106.87147670035699</c:v>
                </c:pt>
                <c:pt idx="244">
                  <c:v>107.1060853708708</c:v>
                </c:pt>
                <c:pt idx="245">
                  <c:v>107.15167283765311</c:v>
                </c:pt>
                <c:pt idx="246">
                  <c:v>106.62352535663862</c:v>
                </c:pt>
                <c:pt idx="247">
                  <c:v>107.04270767314907</c:v>
                </c:pt>
                <c:pt idx="248">
                  <c:v>106.8492389116827</c:v>
                </c:pt>
                <c:pt idx="249">
                  <c:v>107.09385458709993</c:v>
                </c:pt>
                <c:pt idx="250">
                  <c:v>107.37627450326347</c:v>
                </c:pt>
                <c:pt idx="251">
                  <c:v>107.30956113724059</c:v>
                </c:pt>
                <c:pt idx="252">
                  <c:v>106.7880849928284</c:v>
                </c:pt>
                <c:pt idx="253">
                  <c:v>107.36960316666119</c:v>
                </c:pt>
                <c:pt idx="254">
                  <c:v>107.35403671458918</c:v>
                </c:pt>
                <c:pt idx="255">
                  <c:v>107.2873233485663</c:v>
                </c:pt>
                <c:pt idx="256">
                  <c:v>106.8258892335747</c:v>
                </c:pt>
                <c:pt idx="257">
                  <c:v>106.76251153585298</c:v>
                </c:pt>
                <c:pt idx="258">
                  <c:v>106.76251153585298</c:v>
                </c:pt>
                <c:pt idx="259">
                  <c:v>106.84479135394785</c:v>
                </c:pt>
                <c:pt idx="260">
                  <c:v>106.96598730222276</c:v>
                </c:pt>
                <c:pt idx="261">
                  <c:v>106.66244148681864</c:v>
                </c:pt>
                <c:pt idx="262">
                  <c:v>106.70580517473351</c:v>
                </c:pt>
                <c:pt idx="263">
                  <c:v>106.70580517473351</c:v>
                </c:pt>
              </c:numCache>
            </c:numRef>
          </c:val>
          <c:smooth val="0"/>
          <c:extLst>
            <c:ext xmlns:c16="http://schemas.microsoft.com/office/drawing/2014/chart" uri="{C3380CC4-5D6E-409C-BE32-E72D297353CC}">
              <c16:uniqueId val="{00000001-610E-4E11-9B96-CB188C2DFCB9}"/>
            </c:ext>
          </c:extLst>
        </c:ser>
        <c:ser>
          <c:idx val="11"/>
          <c:order val="11"/>
          <c:tx>
            <c:strRef>
              <c:f>'Currency Chart'!$AA$5</c:f>
              <c:strCache>
                <c:ptCount val="1"/>
                <c:pt idx="0">
                  <c:v>MSCI EM Currency Index</c:v>
                </c:pt>
              </c:strCache>
            </c:strRef>
          </c:tx>
          <c:spPr>
            <a:ln w="28575" cap="rnd">
              <a:solidFill>
                <a:schemeClr val="accent1"/>
              </a:solidFill>
              <a:round/>
            </a:ln>
            <a:effectLst/>
          </c:spPr>
          <c:marker>
            <c:symbol val="none"/>
          </c:marker>
          <c:cat>
            <c:numRef>
              <c:f>'Currency Chart'!$O$6:$O$291</c:f>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f>'Currency Chart'!$AA$6:$AA$291</c:f>
              <c:numCache>
                <c:formatCode>0</c:formatCode>
                <c:ptCount val="286"/>
                <c:pt idx="0" formatCode="General">
                  <c:v>100</c:v>
                </c:pt>
                <c:pt idx="1">
                  <c:v>100.19728490227249</c:v>
                </c:pt>
                <c:pt idx="2">
                  <c:v>101.33467525189565</c:v>
                </c:pt>
                <c:pt idx="3">
                  <c:v>102.50580417900889</c:v>
                </c:pt>
                <c:pt idx="4">
                  <c:v>102.84776467628122</c:v>
                </c:pt>
                <c:pt idx="5">
                  <c:v>102.39372348090625</c:v>
                </c:pt>
                <c:pt idx="6">
                  <c:v>104.33798048880908</c:v>
                </c:pt>
                <c:pt idx="7">
                  <c:v>104.91611102851195</c:v>
                </c:pt>
                <c:pt idx="8">
                  <c:v>105.24606287955898</c:v>
                </c:pt>
                <c:pt idx="9">
                  <c:v>105.74413577775996</c:v>
                </c:pt>
                <c:pt idx="10">
                  <c:v>105.62690851698936</c:v>
                </c:pt>
                <c:pt idx="11">
                  <c:v>104.59359310131865</c:v>
                </c:pt>
                <c:pt idx="12">
                  <c:v>104.68222834726716</c:v>
                </c:pt>
                <c:pt idx="13">
                  <c:v>105.85678831615905</c:v>
                </c:pt>
                <c:pt idx="14">
                  <c:v>106.6865285862964</c:v>
                </c:pt>
                <c:pt idx="15">
                  <c:v>107.05250637601929</c:v>
                </c:pt>
                <c:pt idx="16">
                  <c:v>107.10111280121687</c:v>
                </c:pt>
                <c:pt idx="17">
                  <c:v>108.08753731257934</c:v>
                </c:pt>
                <c:pt idx="18">
                  <c:v>106.84149730663221</c:v>
                </c:pt>
                <c:pt idx="19">
                  <c:v>106.36057961732448</c:v>
                </c:pt>
                <c:pt idx="20">
                  <c:v>104.14241110742593</c:v>
                </c:pt>
                <c:pt idx="21">
                  <c:v>103.03875933529285</c:v>
                </c:pt>
                <c:pt idx="22">
                  <c:v>104.48608712558757</c:v>
                </c:pt>
                <c:pt idx="23">
                  <c:v>106.25364548188981</c:v>
                </c:pt>
                <c:pt idx="24">
                  <c:v>106.79060352024885</c:v>
                </c:pt>
                <c:pt idx="25">
                  <c:v>106.64935896702767</c:v>
                </c:pt>
                <c:pt idx="26">
                  <c:v>107.05936845957659</c:v>
                </c:pt>
                <c:pt idx="27">
                  <c:v>107.82391893591956</c:v>
                </c:pt>
                <c:pt idx="28">
                  <c:v>108.42034836510858</c:v>
                </c:pt>
                <c:pt idx="29">
                  <c:v>109.25637887850678</c:v>
                </c:pt>
                <c:pt idx="30">
                  <c:v>109.42106888388209</c:v>
                </c:pt>
                <c:pt idx="31">
                  <c:v>109.44051145396111</c:v>
                </c:pt>
                <c:pt idx="32">
                  <c:v>109.63264979356562</c:v>
                </c:pt>
                <c:pt idx="33">
                  <c:v>109.40391367498881</c:v>
                </c:pt>
                <c:pt idx="34">
                  <c:v>109.62635955030476</c:v>
                </c:pt>
                <c:pt idx="35">
                  <c:v>108.47352951267767</c:v>
                </c:pt>
                <c:pt idx="36">
                  <c:v>108.78003591157058</c:v>
                </c:pt>
                <c:pt idx="37">
                  <c:v>108.78003591157058</c:v>
                </c:pt>
                <c:pt idx="38">
                  <c:v>106.30968583094109</c:v>
                </c:pt>
                <c:pt idx="39">
                  <c:v>106.30625478916244</c:v>
                </c:pt>
                <c:pt idx="40">
                  <c:v>104.81146425426303</c:v>
                </c:pt>
                <c:pt idx="41">
                  <c:v>104.83433786612069</c:v>
                </c:pt>
                <c:pt idx="42">
                  <c:v>101.56055216899018</c:v>
                </c:pt>
                <c:pt idx="43">
                  <c:v>102.82832210620212</c:v>
                </c:pt>
                <c:pt idx="44">
                  <c:v>103.12281985886975</c:v>
                </c:pt>
                <c:pt idx="45">
                  <c:v>104.71539508446074</c:v>
                </c:pt>
                <c:pt idx="46">
                  <c:v>102.39715452268483</c:v>
                </c:pt>
                <c:pt idx="47">
                  <c:v>101.85848096343645</c:v>
                </c:pt>
                <c:pt idx="48">
                  <c:v>99.890206663083049</c:v>
                </c:pt>
                <c:pt idx="49">
                  <c:v>100.23159532005894</c:v>
                </c:pt>
                <c:pt idx="50">
                  <c:v>101.69379095806117</c:v>
                </c:pt>
                <c:pt idx="51">
                  <c:v>103.37614511019356</c:v>
                </c:pt>
                <c:pt idx="52">
                  <c:v>102.8334686688701</c:v>
                </c:pt>
                <c:pt idx="53">
                  <c:v>102.07692395667732</c:v>
                </c:pt>
                <c:pt idx="54">
                  <c:v>103.06334846803979</c:v>
                </c:pt>
                <c:pt idx="55">
                  <c:v>102.75055182588601</c:v>
                </c:pt>
                <c:pt idx="56">
                  <c:v>102.90952342829688</c:v>
                </c:pt>
                <c:pt idx="57">
                  <c:v>102.43089310017493</c:v>
                </c:pt>
                <c:pt idx="58">
                  <c:v>102.53153699234872</c:v>
                </c:pt>
                <c:pt idx="59">
                  <c:v>102.09522284616347</c:v>
                </c:pt>
                <c:pt idx="60">
                  <c:v>100.87834669533486</c:v>
                </c:pt>
                <c:pt idx="61">
                  <c:v>100.02630465363627</c:v>
                </c:pt>
                <c:pt idx="62">
                  <c:v>101.55369008543288</c:v>
                </c:pt>
                <c:pt idx="63">
                  <c:v>101.45247435296264</c:v>
                </c:pt>
                <c:pt idx="64">
                  <c:v>102.67335338586633</c:v>
                </c:pt>
                <c:pt idx="65">
                  <c:v>102.43146494047136</c:v>
                </c:pt>
                <c:pt idx="66">
                  <c:v>103.53854775438309</c:v>
                </c:pt>
                <c:pt idx="67">
                  <c:v>103.8856548143234</c:v>
                </c:pt>
                <c:pt idx="68">
                  <c:v>103.83647654882938</c:v>
                </c:pt>
                <c:pt idx="69">
                  <c:v>104.19273305351275</c:v>
                </c:pt>
                <c:pt idx="70">
                  <c:v>103.48994132918553</c:v>
                </c:pt>
                <c:pt idx="71">
                  <c:v>104.45234854809743</c:v>
                </c:pt>
                <c:pt idx="72">
                  <c:v>103.45448723080614</c:v>
                </c:pt>
                <c:pt idx="73">
                  <c:v>101.96427141827826</c:v>
                </c:pt>
                <c:pt idx="74">
                  <c:v>101.45418987385199</c:v>
                </c:pt>
                <c:pt idx="75">
                  <c:v>102.3759964317165</c:v>
                </c:pt>
                <c:pt idx="76">
                  <c:v>102.97642874298062</c:v>
                </c:pt>
                <c:pt idx="77">
                  <c:v>103.99430447064738</c:v>
                </c:pt>
                <c:pt idx="78">
                  <c:v>103.84791335475822</c:v>
                </c:pt>
                <c:pt idx="79">
                  <c:v>103.85134439653686</c:v>
                </c:pt>
                <c:pt idx="80">
                  <c:v>103.036471974107</c:v>
                </c:pt>
                <c:pt idx="81">
                  <c:v>103.19086885414634</c:v>
                </c:pt>
                <c:pt idx="82">
                  <c:v>104.0354769719912</c:v>
                </c:pt>
                <c:pt idx="83">
                  <c:v>104.0354769719912</c:v>
                </c:pt>
                <c:pt idx="84">
                  <c:v>104.59302126102217</c:v>
                </c:pt>
                <c:pt idx="85">
                  <c:v>104.81775449752388</c:v>
                </c:pt>
                <c:pt idx="86">
                  <c:v>105.22147374681192</c:v>
                </c:pt>
                <c:pt idx="87">
                  <c:v>105.23405423333367</c:v>
                </c:pt>
                <c:pt idx="88">
                  <c:v>104.35056097533077</c:v>
                </c:pt>
                <c:pt idx="89">
                  <c:v>103.98115214382922</c:v>
                </c:pt>
                <c:pt idx="90">
                  <c:v>103.86564040394794</c:v>
                </c:pt>
                <c:pt idx="91">
                  <c:v>103.40244976382992</c:v>
                </c:pt>
                <c:pt idx="92">
                  <c:v>103.8198931802326</c:v>
                </c:pt>
                <c:pt idx="93">
                  <c:v>104.01546256161576</c:v>
                </c:pt>
                <c:pt idx="94">
                  <c:v>103.83933575031163</c:v>
                </c:pt>
                <c:pt idx="95">
                  <c:v>102.71852876928529</c:v>
                </c:pt>
                <c:pt idx="96">
                  <c:v>102.45948511499707</c:v>
                </c:pt>
                <c:pt idx="97">
                  <c:v>101.79615037112434</c:v>
                </c:pt>
                <c:pt idx="98">
                  <c:v>102.79286800782276</c:v>
                </c:pt>
                <c:pt idx="99">
                  <c:v>103.45505907110261</c:v>
                </c:pt>
                <c:pt idx="100">
                  <c:v>104.92240127177281</c:v>
                </c:pt>
                <c:pt idx="101">
                  <c:v>104.53583723137803</c:v>
                </c:pt>
                <c:pt idx="102">
                  <c:v>104.33169024554823</c:v>
                </c:pt>
                <c:pt idx="103">
                  <c:v>104.80746137218797</c:v>
                </c:pt>
                <c:pt idx="104">
                  <c:v>105.09967176366983</c:v>
                </c:pt>
                <c:pt idx="105">
                  <c:v>106.90382789894437</c:v>
                </c:pt>
                <c:pt idx="106">
                  <c:v>107.47967107746148</c:v>
                </c:pt>
                <c:pt idx="107">
                  <c:v>108.06123265894301</c:v>
                </c:pt>
                <c:pt idx="108">
                  <c:v>107.90283289682857</c:v>
                </c:pt>
                <c:pt idx="109">
                  <c:v>108.91842126330958</c:v>
                </c:pt>
                <c:pt idx="110">
                  <c:v>108.8166336905429</c:v>
                </c:pt>
                <c:pt idx="111">
                  <c:v>108.44951222022713</c:v>
                </c:pt>
                <c:pt idx="112">
                  <c:v>108.39232819058293</c:v>
                </c:pt>
                <c:pt idx="113">
                  <c:v>108.08181890961492</c:v>
                </c:pt>
                <c:pt idx="114">
                  <c:v>108.45408694259868</c:v>
                </c:pt>
                <c:pt idx="115">
                  <c:v>107.78617747635441</c:v>
                </c:pt>
                <c:pt idx="116">
                  <c:v>107.68438990358773</c:v>
                </c:pt>
                <c:pt idx="117">
                  <c:v>108.42206388599793</c:v>
                </c:pt>
                <c:pt idx="118">
                  <c:v>108.59590333611631</c:v>
                </c:pt>
                <c:pt idx="119">
                  <c:v>108.78746983542439</c:v>
                </c:pt>
                <c:pt idx="120">
                  <c:v>108.67310177613599</c:v>
                </c:pt>
                <c:pt idx="121">
                  <c:v>107.834783901552</c:v>
                </c:pt>
                <c:pt idx="122">
                  <c:v>107.25550968125623</c:v>
                </c:pt>
                <c:pt idx="123">
                  <c:v>107.19317908894405</c:v>
                </c:pt>
                <c:pt idx="124">
                  <c:v>106.32626919953796</c:v>
                </c:pt>
                <c:pt idx="125">
                  <c:v>106.28795589967636</c:v>
                </c:pt>
                <c:pt idx="126">
                  <c:v>106.95129064354909</c:v>
                </c:pt>
                <c:pt idx="127">
                  <c:v>107.74557681530703</c:v>
                </c:pt>
                <c:pt idx="128">
                  <c:v>108.28596589544473</c:v>
                </c:pt>
                <c:pt idx="129">
                  <c:v>108.36487985635372</c:v>
                </c:pt>
                <c:pt idx="130">
                  <c:v>108.18532200327094</c:v>
                </c:pt>
                <c:pt idx="131">
                  <c:v>107.94400539817241</c:v>
                </c:pt>
                <c:pt idx="132">
                  <c:v>107.70840719603829</c:v>
                </c:pt>
                <c:pt idx="133">
                  <c:v>106.69968091311459</c:v>
                </c:pt>
                <c:pt idx="134">
                  <c:v>107.17545203975435</c:v>
                </c:pt>
                <c:pt idx="135">
                  <c:v>106.04320825279918</c:v>
                </c:pt>
                <c:pt idx="136">
                  <c:v>106.64707160584193</c:v>
                </c:pt>
                <c:pt idx="137">
                  <c:v>105.30610611068541</c:v>
                </c:pt>
                <c:pt idx="138">
                  <c:v>105.18316044695038</c:v>
                </c:pt>
                <c:pt idx="139">
                  <c:v>105.82762446104053</c:v>
                </c:pt>
                <c:pt idx="140">
                  <c:v>106.29253062204788</c:v>
                </c:pt>
                <c:pt idx="141">
                  <c:v>106.62934455665223</c:v>
                </c:pt>
                <c:pt idx="142">
                  <c:v>107.49167972368676</c:v>
                </c:pt>
                <c:pt idx="143">
                  <c:v>106.53842194951793</c:v>
                </c:pt>
                <c:pt idx="144">
                  <c:v>105.52683646511203</c:v>
                </c:pt>
                <c:pt idx="145">
                  <c:v>105.58001761268112</c:v>
                </c:pt>
                <c:pt idx="146">
                  <c:v>105.83848942667291</c:v>
                </c:pt>
                <c:pt idx="147">
                  <c:v>106.38288138888569</c:v>
                </c:pt>
                <c:pt idx="148">
                  <c:v>105.50281917266145</c:v>
                </c:pt>
                <c:pt idx="149">
                  <c:v>104.60560174754393</c:v>
                </c:pt>
                <c:pt idx="150">
                  <c:v>103.04562141885012</c:v>
                </c:pt>
                <c:pt idx="151">
                  <c:v>103.95256012900714</c:v>
                </c:pt>
                <c:pt idx="152">
                  <c:v>105.14827818886738</c:v>
                </c:pt>
                <c:pt idx="153">
                  <c:v>103.80216613104288</c:v>
                </c:pt>
                <c:pt idx="154">
                  <c:v>105.29638482564583</c:v>
                </c:pt>
                <c:pt idx="155">
                  <c:v>106.37087274266038</c:v>
                </c:pt>
                <c:pt idx="156">
                  <c:v>106.9890321031142</c:v>
                </c:pt>
                <c:pt idx="157">
                  <c:v>106.907258940723</c:v>
                </c:pt>
                <c:pt idx="158">
                  <c:v>105.83963310726575</c:v>
                </c:pt>
                <c:pt idx="159">
                  <c:v>105.78645195969666</c:v>
                </c:pt>
                <c:pt idx="160">
                  <c:v>106.35371753376712</c:v>
                </c:pt>
                <c:pt idx="161">
                  <c:v>106.06036346169238</c:v>
                </c:pt>
                <c:pt idx="162">
                  <c:v>105.99174262611933</c:v>
                </c:pt>
                <c:pt idx="163">
                  <c:v>106.05235769754218</c:v>
                </c:pt>
                <c:pt idx="164">
                  <c:v>106.00718231412327</c:v>
                </c:pt>
                <c:pt idx="165">
                  <c:v>105.81904685659384</c:v>
                </c:pt>
                <c:pt idx="166">
                  <c:v>105.90711026224591</c:v>
                </c:pt>
                <c:pt idx="167">
                  <c:v>104.57872525361111</c:v>
                </c:pt>
                <c:pt idx="168">
                  <c:v>103.59573178402729</c:v>
                </c:pt>
                <c:pt idx="169">
                  <c:v>104.86292988094279</c:v>
                </c:pt>
                <c:pt idx="170">
                  <c:v>105.67665862277978</c:v>
                </c:pt>
                <c:pt idx="171">
                  <c:v>106.09982044214686</c:v>
                </c:pt>
                <c:pt idx="172">
                  <c:v>104.95556800896641</c:v>
                </c:pt>
                <c:pt idx="173">
                  <c:v>105.49710076969698</c:v>
                </c:pt>
                <c:pt idx="174">
                  <c:v>106.48695632283813</c:v>
                </c:pt>
                <c:pt idx="175">
                  <c:v>107.50769125198711</c:v>
                </c:pt>
                <c:pt idx="176">
                  <c:v>107.88624952823174</c:v>
                </c:pt>
                <c:pt idx="177">
                  <c:v>108.08810915287577</c:v>
                </c:pt>
                <c:pt idx="178">
                  <c:v>108.77431750860617</c:v>
                </c:pt>
                <c:pt idx="179">
                  <c:v>109.19519196678748</c:v>
                </c:pt>
                <c:pt idx="180">
                  <c:v>108.62735455242056</c:v>
                </c:pt>
                <c:pt idx="181">
                  <c:v>107.56544712192775</c:v>
                </c:pt>
                <c:pt idx="182">
                  <c:v>107.71469743929913</c:v>
                </c:pt>
                <c:pt idx="183">
                  <c:v>108.24021867172934</c:v>
                </c:pt>
                <c:pt idx="184">
                  <c:v>107.6460766037261</c:v>
                </c:pt>
                <c:pt idx="185">
                  <c:v>107.36701853906239</c:v>
                </c:pt>
                <c:pt idx="186">
                  <c:v>107.07537998787696</c:v>
                </c:pt>
                <c:pt idx="187">
                  <c:v>106.23934947447874</c:v>
                </c:pt>
                <c:pt idx="188">
                  <c:v>106.40003659777895</c:v>
                </c:pt>
                <c:pt idx="189">
                  <c:v>105.30953715246403</c:v>
                </c:pt>
                <c:pt idx="190">
                  <c:v>105.9419925203289</c:v>
                </c:pt>
                <c:pt idx="191">
                  <c:v>105.70696615849121</c:v>
                </c:pt>
                <c:pt idx="192">
                  <c:v>106.01461623797702</c:v>
                </c:pt>
                <c:pt idx="193">
                  <c:v>105.95914772922214</c:v>
                </c:pt>
                <c:pt idx="194">
                  <c:v>105.63662980202884</c:v>
                </c:pt>
                <c:pt idx="195">
                  <c:v>104.35284833651652</c:v>
                </c:pt>
                <c:pt idx="196">
                  <c:v>103.85649095920486</c:v>
                </c:pt>
                <c:pt idx="197">
                  <c:v>104.36943170511336</c:v>
                </c:pt>
                <c:pt idx="198">
                  <c:v>103.90052266203091</c:v>
                </c:pt>
                <c:pt idx="199">
                  <c:v>103.564280567723</c:v>
                </c:pt>
                <c:pt idx="200">
                  <c:v>103.89937898143802</c:v>
                </c:pt>
                <c:pt idx="201">
                  <c:v>102.93182519985814</c:v>
                </c:pt>
                <c:pt idx="202">
                  <c:v>104.62847535940158</c:v>
                </c:pt>
                <c:pt idx="203">
                  <c:v>104.87951324953961</c:v>
                </c:pt>
                <c:pt idx="204">
                  <c:v>104.45863879135831</c:v>
                </c:pt>
                <c:pt idx="205">
                  <c:v>104.14412662831521</c:v>
                </c:pt>
                <c:pt idx="206">
                  <c:v>104.89152189576491</c:v>
                </c:pt>
                <c:pt idx="207">
                  <c:v>105.30553427038893</c:v>
                </c:pt>
                <c:pt idx="208">
                  <c:v>106.00146391115887</c:v>
                </c:pt>
                <c:pt idx="209">
                  <c:v>105.4645058727998</c:v>
                </c:pt>
                <c:pt idx="210">
                  <c:v>106.65221816850986</c:v>
                </c:pt>
                <c:pt idx="211">
                  <c:v>106.56243924196848</c:v>
                </c:pt>
                <c:pt idx="212">
                  <c:v>105.50453469355075</c:v>
                </c:pt>
                <c:pt idx="213">
                  <c:v>105.7447076180564</c:v>
                </c:pt>
                <c:pt idx="214">
                  <c:v>105.17401100220728</c:v>
                </c:pt>
                <c:pt idx="215">
                  <c:v>105.2929537838672</c:v>
                </c:pt>
                <c:pt idx="216">
                  <c:v>104.64734608918418</c:v>
                </c:pt>
                <c:pt idx="217">
                  <c:v>104.00059471390827</c:v>
                </c:pt>
                <c:pt idx="218">
                  <c:v>103.52082070519342</c:v>
                </c:pt>
                <c:pt idx="219">
                  <c:v>103.98058030353279</c:v>
                </c:pt>
                <c:pt idx="220">
                  <c:v>103.855347278612</c:v>
                </c:pt>
                <c:pt idx="221">
                  <c:v>103.82160870112192</c:v>
                </c:pt>
                <c:pt idx="222">
                  <c:v>104.46206983313698</c:v>
                </c:pt>
                <c:pt idx="223">
                  <c:v>104.87436668687168</c:v>
                </c:pt>
                <c:pt idx="224">
                  <c:v>105.59774466187082</c:v>
                </c:pt>
                <c:pt idx="225">
                  <c:v>105.74127657627777</c:v>
                </c:pt>
                <c:pt idx="226">
                  <c:v>105.51883070096183</c:v>
                </c:pt>
                <c:pt idx="227">
                  <c:v>106.02948408568454</c:v>
                </c:pt>
                <c:pt idx="228">
                  <c:v>106.56129556137562</c:v>
                </c:pt>
                <c:pt idx="229">
                  <c:v>106.92327046902339</c:v>
                </c:pt>
                <c:pt idx="230">
                  <c:v>107.19718197101911</c:v>
                </c:pt>
                <c:pt idx="231">
                  <c:v>106.96444297036722</c:v>
                </c:pt>
                <c:pt idx="232">
                  <c:v>106.05521689902443</c:v>
                </c:pt>
                <c:pt idx="233">
                  <c:v>106.14671134645513</c:v>
                </c:pt>
                <c:pt idx="234">
                  <c:v>105.44963802509233</c:v>
                </c:pt>
                <c:pt idx="235">
                  <c:v>105.22662030947996</c:v>
                </c:pt>
                <c:pt idx="236">
                  <c:v>105.04534693550784</c:v>
                </c:pt>
                <c:pt idx="237">
                  <c:v>105.3089653121676</c:v>
                </c:pt>
                <c:pt idx="238">
                  <c:v>103.55513112297997</c:v>
                </c:pt>
                <c:pt idx="239">
                  <c:v>103.62032091677435</c:v>
                </c:pt>
                <c:pt idx="240">
                  <c:v>103.34183469240709</c:v>
                </c:pt>
                <c:pt idx="241">
                  <c:v>104.10867252993582</c:v>
                </c:pt>
                <c:pt idx="242">
                  <c:v>105.30667795098184</c:v>
                </c:pt>
                <c:pt idx="243">
                  <c:v>104.54155563434243</c:v>
                </c:pt>
                <c:pt idx="244">
                  <c:v>103.65005661218933</c:v>
                </c:pt>
                <c:pt idx="245">
                  <c:v>104.6570673742237</c:v>
                </c:pt>
                <c:pt idx="246">
                  <c:v>105.92483731143562</c:v>
                </c:pt>
                <c:pt idx="247">
                  <c:v>106.57216052700799</c:v>
                </c:pt>
                <c:pt idx="248">
                  <c:v>106.14785502704802</c:v>
                </c:pt>
                <c:pt idx="249">
                  <c:v>105.69381383167307</c:v>
                </c:pt>
                <c:pt idx="250">
                  <c:v>105.62233379461782</c:v>
                </c:pt>
                <c:pt idx="251">
                  <c:v>104.76743255143701</c:v>
                </c:pt>
                <c:pt idx="252">
                  <c:v>105.95400116655419</c:v>
                </c:pt>
                <c:pt idx="253">
                  <c:v>105.54627903519105</c:v>
                </c:pt>
                <c:pt idx="254">
                  <c:v>103.75070050436312</c:v>
                </c:pt>
                <c:pt idx="255">
                  <c:v>105.16028683509268</c:v>
                </c:pt>
                <c:pt idx="256">
                  <c:v>105.90253553987441</c:v>
                </c:pt>
                <c:pt idx="257">
                  <c:v>106.67108889829247</c:v>
                </c:pt>
                <c:pt idx="258">
                  <c:v>107.06508686254101</c:v>
                </c:pt>
                <c:pt idx="259">
                  <c:v>107.23549527088073</c:v>
                </c:pt>
                <c:pt idx="260">
                  <c:v>107.81648501206581</c:v>
                </c:pt>
                <c:pt idx="261">
                  <c:v>107.08167023113782</c:v>
                </c:pt>
                <c:pt idx="262">
                  <c:v>107.79990164346898</c:v>
                </c:pt>
                <c:pt idx="263">
                  <c:v>108.25794572091904</c:v>
                </c:pt>
              </c:numCache>
            </c:numRef>
          </c:val>
          <c:smooth val="0"/>
          <c:extLst>
            <c:ext xmlns:c16="http://schemas.microsoft.com/office/drawing/2014/chart" uri="{C3380CC4-5D6E-409C-BE32-E72D297353CC}">
              <c16:uniqueId val="{00000002-610E-4E11-9B96-CB188C2DFCB9}"/>
            </c:ext>
          </c:extLst>
        </c:ser>
        <c:dLbls>
          <c:showLegendKey val="0"/>
          <c:showVal val="0"/>
          <c:showCatName val="0"/>
          <c:showSerName val="0"/>
          <c:showPercent val="0"/>
          <c:showBubbleSize val="0"/>
        </c:dLbls>
        <c:smooth val="0"/>
        <c:axId val="775787455"/>
        <c:axId val="775774559"/>
        <c:extLst>
          <c:ext xmlns:c15="http://schemas.microsoft.com/office/drawing/2012/chart" uri="{02D57815-91ED-43cb-92C2-25804820EDAC}">
            <c15:filteredLineSeries>
              <c15:ser>
                <c:idx val="0"/>
                <c:order val="0"/>
                <c:tx>
                  <c:strRef>
                    <c:extLst>
                      <c:ext uri="{02D57815-91ED-43cb-92C2-25804820EDAC}">
                        <c15:formulaRef>
                          <c15:sqref>'Currency Chart'!$P$5</c15:sqref>
                        </c15:formulaRef>
                      </c:ext>
                    </c:extLst>
                    <c:strCache>
                      <c:ptCount val="1"/>
                      <c:pt idx="0">
                        <c:v>Real</c:v>
                      </c:pt>
                    </c:strCache>
                  </c:strRef>
                </c:tx>
                <c:spPr>
                  <a:ln w="28575" cap="rnd">
                    <a:solidFill>
                      <a:schemeClr val="accent1"/>
                    </a:solidFill>
                    <a:round/>
                  </a:ln>
                  <a:effectLst/>
                </c:spPr>
                <c:marker>
                  <c:symbol val="none"/>
                </c:marker>
                <c:cat>
                  <c:numRef>
                    <c:extLst>
                      <c:ex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c:ext uri="{02D57815-91ED-43cb-92C2-25804820EDAC}">
                        <c15:formulaRef>
                          <c15:sqref>'Currency Chart'!$P$6:$P$291</c15:sqref>
                        </c15:formulaRef>
                      </c:ext>
                    </c:extLst>
                    <c:numCache>
                      <c:formatCode>0</c:formatCode>
                      <c:ptCount val="286"/>
                      <c:pt idx="0" formatCode="General">
                        <c:v>100</c:v>
                      </c:pt>
                      <c:pt idx="1">
                        <c:v>100</c:v>
                      </c:pt>
                      <c:pt idx="2">
                        <c:v>101.98509732945683</c:v>
                      </c:pt>
                      <c:pt idx="3">
                        <c:v>101.76560063153434</c:v>
                      </c:pt>
                      <c:pt idx="4">
                        <c:v>102.31434237634055</c:v>
                      </c:pt>
                      <c:pt idx="5">
                        <c:v>104.16658644126534</c:v>
                      </c:pt>
                      <c:pt idx="6">
                        <c:v>104.31484298284455</c:v>
                      </c:pt>
                      <c:pt idx="7">
                        <c:v>105.68573464004463</c:v>
                      </c:pt>
                      <c:pt idx="8">
                        <c:v>102.48185301422875</c:v>
                      </c:pt>
                      <c:pt idx="9">
                        <c:v>102.02745634133659</c:v>
                      </c:pt>
                      <c:pt idx="10">
                        <c:v>100.05776228892692</c:v>
                      </c:pt>
                      <c:pt idx="11">
                        <c:v>101.90615553458994</c:v>
                      </c:pt>
                      <c:pt idx="12">
                        <c:v>101.96391782351692</c:v>
                      </c:pt>
                      <c:pt idx="13">
                        <c:v>103.15959720430517</c:v>
                      </c:pt>
                      <c:pt idx="14">
                        <c:v>101.88690143828094</c:v>
                      </c:pt>
                      <c:pt idx="15">
                        <c:v>103.02096771088044</c:v>
                      </c:pt>
                      <c:pt idx="16">
                        <c:v>105.25444288272324</c:v>
                      </c:pt>
                      <c:pt idx="17">
                        <c:v>105.25251747309235</c:v>
                      </c:pt>
                      <c:pt idx="18">
                        <c:v>103.1095365539018</c:v>
                      </c:pt>
                      <c:pt idx="19">
                        <c:v>104.2378265976086</c:v>
                      </c:pt>
                      <c:pt idx="20">
                        <c:v>104.76153801721311</c:v>
                      </c:pt>
                      <c:pt idx="21">
                        <c:v>105.1755010878564</c:v>
                      </c:pt>
                      <c:pt idx="22">
                        <c:v>104.59210196969401</c:v>
                      </c:pt>
                      <c:pt idx="23">
                        <c:v>103.35598898665688</c:v>
                      </c:pt>
                      <c:pt idx="24">
                        <c:v>103.07487918054562</c:v>
                      </c:pt>
                      <c:pt idx="25">
                        <c:v>104.48427903036367</c:v>
                      </c:pt>
                      <c:pt idx="26">
                        <c:v>103.40219881779845</c:v>
                      </c:pt>
                      <c:pt idx="27">
                        <c:v>103.3117045651462</c:v>
                      </c:pt>
                      <c:pt idx="28">
                        <c:v>103.55045535937765</c:v>
                      </c:pt>
                      <c:pt idx="29">
                        <c:v>103.70256272021867</c:v>
                      </c:pt>
                      <c:pt idx="30">
                        <c:v>103.32710784219337</c:v>
                      </c:pt>
                      <c:pt idx="31">
                        <c:v>103.39064636001304</c:v>
                      </c:pt>
                      <c:pt idx="32">
                        <c:v>103.39064636001304</c:v>
                      </c:pt>
                      <c:pt idx="33">
                        <c:v>103.38487013112035</c:v>
                      </c:pt>
                      <c:pt idx="34">
                        <c:v>104.17428807978891</c:v>
                      </c:pt>
                      <c:pt idx="35">
                        <c:v>104.49198066888722</c:v>
                      </c:pt>
                      <c:pt idx="36">
                        <c:v>103.63132256387539</c:v>
                      </c:pt>
                      <c:pt idx="37">
                        <c:v>103.63132256387539</c:v>
                      </c:pt>
                      <c:pt idx="38">
                        <c:v>105.24096501530694</c:v>
                      </c:pt>
                      <c:pt idx="39">
                        <c:v>104.7596126075822</c:v>
                      </c:pt>
                      <c:pt idx="40">
                        <c:v>104.09149546566026</c:v>
                      </c:pt>
                      <c:pt idx="41">
                        <c:v>106.49055586576038</c:v>
                      </c:pt>
                      <c:pt idx="42">
                        <c:v>107.79598359550988</c:v>
                      </c:pt>
                      <c:pt idx="43">
                        <c:v>108.62776055605823</c:v>
                      </c:pt>
                      <c:pt idx="44">
                        <c:v>109.28817605945659</c:v>
                      </c:pt>
                      <c:pt idx="45">
                        <c:v>108.19454338910597</c:v>
                      </c:pt>
                      <c:pt idx="46">
                        <c:v>109.15724820455547</c:v>
                      </c:pt>
                      <c:pt idx="47">
                        <c:v>109.57121127519876</c:v>
                      </c:pt>
                      <c:pt idx="48">
                        <c:v>113.12744286346916</c:v>
                      </c:pt>
                      <c:pt idx="49">
                        <c:v>111.72189383291291</c:v>
                      </c:pt>
                      <c:pt idx="50">
                        <c:v>109.20923426458974</c:v>
                      </c:pt>
                      <c:pt idx="51">
                        <c:v>106.58490093767445</c:v>
                      </c:pt>
                      <c:pt idx="52">
                        <c:v>106.89489188824916</c:v>
                      </c:pt>
                      <c:pt idx="53">
                        <c:v>108.12330323276269</c:v>
                      </c:pt>
                      <c:pt idx="54">
                        <c:v>108.29659009954361</c:v>
                      </c:pt>
                      <c:pt idx="55">
                        <c:v>107.49947051235142</c:v>
                      </c:pt>
                      <c:pt idx="56">
                        <c:v>107.06047711650646</c:v>
                      </c:pt>
                      <c:pt idx="57">
                        <c:v>105.73772070007887</c:v>
                      </c:pt>
                      <c:pt idx="58">
                        <c:v>105.98417313283393</c:v>
                      </c:pt>
                      <c:pt idx="59">
                        <c:v>106.30956736045586</c:v>
                      </c:pt>
                      <c:pt idx="60">
                        <c:v>108.22534994320033</c:v>
                      </c:pt>
                      <c:pt idx="61">
                        <c:v>108.73750890501945</c:v>
                      </c:pt>
                      <c:pt idx="62">
                        <c:v>110.83813081233023</c:v>
                      </c:pt>
                      <c:pt idx="63">
                        <c:v>111.28675125632969</c:v>
                      </c:pt>
                      <c:pt idx="64">
                        <c:v>111.18277913626116</c:v>
                      </c:pt>
                      <c:pt idx="65">
                        <c:v>108.42944336407564</c:v>
                      </c:pt>
                      <c:pt idx="66">
                        <c:v>109.88505304503525</c:v>
                      </c:pt>
                      <c:pt idx="67">
                        <c:v>109.89275468355885</c:v>
                      </c:pt>
                      <c:pt idx="68">
                        <c:v>109.03979821707061</c:v>
                      </c:pt>
                      <c:pt idx="69">
                        <c:v>107.63810000577615</c:v>
                      </c:pt>
                      <c:pt idx="70">
                        <c:v>108.09827290756101</c:v>
                      </c:pt>
                      <c:pt idx="71">
                        <c:v>107.28382463369074</c:v>
                      </c:pt>
                      <c:pt idx="72">
                        <c:v>109.40370063731051</c:v>
                      </c:pt>
                      <c:pt idx="73">
                        <c:v>110.38951036833078</c:v>
                      </c:pt>
                      <c:pt idx="74">
                        <c:v>110.06796695997065</c:v>
                      </c:pt>
                      <c:pt idx="75">
                        <c:v>108.8357047961953</c:v>
                      </c:pt>
                      <c:pt idx="76">
                        <c:v>108.13485569054808</c:v>
                      </c:pt>
                      <c:pt idx="77">
                        <c:v>107.59766640352727</c:v>
                      </c:pt>
                      <c:pt idx="78">
                        <c:v>106.7851435392879</c:v>
                      </c:pt>
                      <c:pt idx="79">
                        <c:v>107.22028611587108</c:v>
                      </c:pt>
                      <c:pt idx="80">
                        <c:v>107.22606234476376</c:v>
                      </c:pt>
                      <c:pt idx="81">
                        <c:v>104.83470358318723</c:v>
                      </c:pt>
                      <c:pt idx="82">
                        <c:v>105.41810270134964</c:v>
                      </c:pt>
                      <c:pt idx="83">
                        <c:v>105.41810270134964</c:v>
                      </c:pt>
                      <c:pt idx="84">
                        <c:v>104.67296917419173</c:v>
                      </c:pt>
                      <c:pt idx="85">
                        <c:v>104.91557078768501</c:v>
                      </c:pt>
                      <c:pt idx="86">
                        <c:v>102.8746365789321</c:v>
                      </c:pt>
                      <c:pt idx="87">
                        <c:v>102.76873904923266</c:v>
                      </c:pt>
                      <c:pt idx="88">
                        <c:v>104.67681999345355</c:v>
                      </c:pt>
                      <c:pt idx="89">
                        <c:v>104.7807921135221</c:v>
                      </c:pt>
                      <c:pt idx="90">
                        <c:v>104.80967325798558</c:v>
                      </c:pt>
                      <c:pt idx="91">
                        <c:v>103.09028245759279</c:v>
                      </c:pt>
                      <c:pt idx="92">
                        <c:v>101.5846121262298</c:v>
                      </c:pt>
                      <c:pt idx="93">
                        <c:v>100.8298515509174</c:v>
                      </c:pt>
                      <c:pt idx="94">
                        <c:v>100.6450122263511</c:v>
                      </c:pt>
                      <c:pt idx="95">
                        <c:v>100.52178600997357</c:v>
                      </c:pt>
                      <c:pt idx="96">
                        <c:v>102.16416042513039</c:v>
                      </c:pt>
                      <c:pt idx="97">
                        <c:v>102.21999730442646</c:v>
                      </c:pt>
                      <c:pt idx="98">
                        <c:v>101.52299901804103</c:v>
                      </c:pt>
                      <c:pt idx="99">
                        <c:v>101.52492442767193</c:v>
                      </c:pt>
                      <c:pt idx="100">
                        <c:v>101.28617363344047</c:v>
                      </c:pt>
                      <c:pt idx="101">
                        <c:v>102.22769894295006</c:v>
                      </c:pt>
                      <c:pt idx="102">
                        <c:v>101.70976375223823</c:v>
                      </c:pt>
                      <c:pt idx="103">
                        <c:v>103.23468817991021</c:v>
                      </c:pt>
                      <c:pt idx="104">
                        <c:v>102.38365712305286</c:v>
                      </c:pt>
                      <c:pt idx="105">
                        <c:v>102.647438242486</c:v>
                      </c:pt>
                      <c:pt idx="106">
                        <c:v>102.2681325451989</c:v>
                      </c:pt>
                      <c:pt idx="107">
                        <c:v>100.85873269538085</c:v>
                      </c:pt>
                      <c:pt idx="108">
                        <c:v>100.5911007566859</c:v>
                      </c:pt>
                      <c:pt idx="109">
                        <c:v>100.45247126326117</c:v>
                      </c:pt>
                      <c:pt idx="110">
                        <c:v>99.175924677975161</c:v>
                      </c:pt>
                      <c:pt idx="111">
                        <c:v>97.722240406646435</c:v>
                      </c:pt>
                      <c:pt idx="112">
                        <c:v>97.762674008895303</c:v>
                      </c:pt>
                      <c:pt idx="113">
                        <c:v>97.223559312243594</c:v>
                      </c:pt>
                      <c:pt idx="114">
                        <c:v>97.138841288484031</c:v>
                      </c:pt>
                      <c:pt idx="115">
                        <c:v>96.896239674990767</c:v>
                      </c:pt>
                      <c:pt idx="116">
                        <c:v>97.466160925736872</c:v>
                      </c:pt>
                      <c:pt idx="117">
                        <c:v>97.333307661204842</c:v>
                      </c:pt>
                      <c:pt idx="118">
                        <c:v>98.525136222731291</c:v>
                      </c:pt>
                      <c:pt idx="119">
                        <c:v>97.42765273311889</c:v>
                      </c:pt>
                      <c:pt idx="120">
                        <c:v>97.111885553651462</c:v>
                      </c:pt>
                      <c:pt idx="121">
                        <c:v>97.319829793788543</c:v>
                      </c:pt>
                      <c:pt idx="122">
                        <c:v>96.384080713171642</c:v>
                      </c:pt>
                      <c:pt idx="123">
                        <c:v>97.991797754972282</c:v>
                      </c:pt>
                      <c:pt idx="124">
                        <c:v>96.520784796965458</c:v>
                      </c:pt>
                      <c:pt idx="125">
                        <c:v>95.450257042185626</c:v>
                      </c:pt>
                      <c:pt idx="126">
                        <c:v>95.629320137859239</c:v>
                      </c:pt>
                      <c:pt idx="127">
                        <c:v>94.608853033482788</c:v>
                      </c:pt>
                      <c:pt idx="128">
                        <c:v>94.990084140400782</c:v>
                      </c:pt>
                      <c:pt idx="129">
                        <c:v>94.814871863988969</c:v>
                      </c:pt>
                      <c:pt idx="130">
                        <c:v>95.421375897722129</c:v>
                      </c:pt>
                      <c:pt idx="131">
                        <c:v>95.665902920846307</c:v>
                      </c:pt>
                      <c:pt idx="132">
                        <c:v>97.186976529256484</c:v>
                      </c:pt>
                      <c:pt idx="133">
                        <c:v>97.377592082715495</c:v>
                      </c:pt>
                      <c:pt idx="134">
                        <c:v>98.022604309066637</c:v>
                      </c:pt>
                      <c:pt idx="135">
                        <c:v>100.06161310818864</c:v>
                      </c:pt>
                      <c:pt idx="136">
                        <c:v>100.72780484047966</c:v>
                      </c:pt>
                      <c:pt idx="137">
                        <c:v>101.23611298303699</c:v>
                      </c:pt>
                      <c:pt idx="138">
                        <c:v>101.23611298303699</c:v>
                      </c:pt>
                      <c:pt idx="139">
                        <c:v>99.601440206403765</c:v>
                      </c:pt>
                      <c:pt idx="140">
                        <c:v>99.393495966266684</c:v>
                      </c:pt>
                      <c:pt idx="141">
                        <c:v>97.629820744363215</c:v>
                      </c:pt>
                      <c:pt idx="142">
                        <c:v>98.388432138937432</c:v>
                      </c:pt>
                      <c:pt idx="143">
                        <c:v>98.478926391589667</c:v>
                      </c:pt>
                      <c:pt idx="144">
                        <c:v>101.12058840518304</c:v>
                      </c:pt>
                      <c:pt idx="145">
                        <c:v>100.51600978108077</c:v>
                      </c:pt>
                      <c:pt idx="146">
                        <c:v>99.878699193253212</c:v>
                      </c:pt>
                      <c:pt idx="147">
                        <c:v>100.12707703563919</c:v>
                      </c:pt>
                      <c:pt idx="148">
                        <c:v>100.13285326453187</c:v>
                      </c:pt>
                      <c:pt idx="149">
                        <c:v>99.661127904961631</c:v>
                      </c:pt>
                      <c:pt idx="150">
                        <c:v>99.524423821167801</c:v>
                      </c:pt>
                      <c:pt idx="151">
                        <c:v>98.498180487898665</c:v>
                      </c:pt>
                      <c:pt idx="152">
                        <c:v>97.833914165238511</c:v>
                      </c:pt>
                      <c:pt idx="153">
                        <c:v>100.35812619134705</c:v>
                      </c:pt>
                      <c:pt idx="154">
                        <c:v>99.634172170129034</c:v>
                      </c:pt>
                      <c:pt idx="155">
                        <c:v>100.05776228892681</c:v>
                      </c:pt>
                      <c:pt idx="156">
                        <c:v>99.514796773013302</c:v>
                      </c:pt>
                      <c:pt idx="157">
                        <c:v>101.06090070662519</c:v>
                      </c:pt>
                      <c:pt idx="158">
                        <c:v>100.70084910564708</c:v>
                      </c:pt>
                      <c:pt idx="159">
                        <c:v>100.75861139457405</c:v>
                      </c:pt>
                      <c:pt idx="160">
                        <c:v>99.91913279550208</c:v>
                      </c:pt>
                      <c:pt idx="161">
                        <c:v>100.47750158846279</c:v>
                      </c:pt>
                      <c:pt idx="162">
                        <c:v>101.13021545333754</c:v>
                      </c:pt>
                      <c:pt idx="163">
                        <c:v>101.01854169474539</c:v>
                      </c:pt>
                      <c:pt idx="164">
                        <c:v>101.26691953713137</c:v>
                      </c:pt>
                      <c:pt idx="165">
                        <c:v>101.94658913683871</c:v>
                      </c:pt>
                      <c:pt idx="166">
                        <c:v>103.57548568457923</c:v>
                      </c:pt>
                      <c:pt idx="167">
                        <c:v>104.24552823613207</c:v>
                      </c:pt>
                      <c:pt idx="168">
                        <c:v>103.52927585343765</c:v>
                      </c:pt>
                      <c:pt idx="169">
                        <c:v>103.59088896162643</c:v>
                      </c:pt>
                      <c:pt idx="170">
                        <c:v>101.0127654658527</c:v>
                      </c:pt>
                      <c:pt idx="171">
                        <c:v>100.34657373356167</c:v>
                      </c:pt>
                      <c:pt idx="172">
                        <c:v>101.12636463407576</c:v>
                      </c:pt>
                      <c:pt idx="173">
                        <c:v>100.1135991682229</c:v>
                      </c:pt>
                      <c:pt idx="174">
                        <c:v>99.81323526580266</c:v>
                      </c:pt>
                      <c:pt idx="175">
                        <c:v>99.143192714249835</c:v>
                      </c:pt>
                      <c:pt idx="176">
                        <c:v>99.847892639158857</c:v>
                      </c:pt>
                      <c:pt idx="177">
                        <c:v>99.772801663553793</c:v>
                      </c:pt>
                      <c:pt idx="178">
                        <c:v>99.944163120703806</c:v>
                      </c:pt>
                      <c:pt idx="179">
                        <c:v>99.530200050060515</c:v>
                      </c:pt>
                      <c:pt idx="180">
                        <c:v>99.528274640429615</c:v>
                      </c:pt>
                      <c:pt idx="181">
                        <c:v>102.45874809865785</c:v>
                      </c:pt>
                      <c:pt idx="182">
                        <c:v>100.07509097560494</c:v>
                      </c:pt>
                      <c:pt idx="183">
                        <c:v>100.99543677917463</c:v>
                      </c:pt>
                      <c:pt idx="184">
                        <c:v>100.39855979359595</c:v>
                      </c:pt>
                      <c:pt idx="185">
                        <c:v>100.88761383984428</c:v>
                      </c:pt>
                      <c:pt idx="186">
                        <c:v>100.54296551591337</c:v>
                      </c:pt>
                      <c:pt idx="187">
                        <c:v>101.15139495927745</c:v>
                      </c:pt>
                      <c:pt idx="188">
                        <c:v>101.82143751083028</c:v>
                      </c:pt>
                      <c:pt idx="189">
                        <c:v>102.50880874906122</c:v>
                      </c:pt>
                      <c:pt idx="190">
                        <c:v>101.46716213874487</c:v>
                      </c:pt>
                      <c:pt idx="191">
                        <c:v>101.83106455898478</c:v>
                      </c:pt>
                      <c:pt idx="192">
                        <c:v>102.10447272657242</c:v>
                      </c:pt>
                      <c:pt idx="193">
                        <c:v>102.70905135067468</c:v>
                      </c:pt>
                      <c:pt idx="194">
                        <c:v>103.80653484028711</c:v>
                      </c:pt>
                      <c:pt idx="195">
                        <c:v>104.53626509039782</c:v>
                      </c:pt>
                      <c:pt idx="196">
                        <c:v>104.26478233244106</c:v>
                      </c:pt>
                      <c:pt idx="197">
                        <c:v>104.79619539056918</c:v>
                      </c:pt>
                      <c:pt idx="198">
                        <c:v>103.25586768585001</c:v>
                      </c:pt>
                      <c:pt idx="199">
                        <c:v>105.00221422107538</c:v>
                      </c:pt>
                      <c:pt idx="200">
                        <c:v>105.41232647245687</c:v>
                      </c:pt>
                      <c:pt idx="201">
                        <c:v>105.7280936519243</c:v>
                      </c:pt>
                      <c:pt idx="202">
                        <c:v>106.25950671005241</c:v>
                      </c:pt>
                      <c:pt idx="203">
                        <c:v>106.05541328917712</c:v>
                      </c:pt>
                      <c:pt idx="204">
                        <c:v>106.6041550339833</c:v>
                      </c:pt>
                      <c:pt idx="205">
                        <c:v>106.52328782948555</c:v>
                      </c:pt>
                      <c:pt idx="206">
                        <c:v>106.15360918035296</c:v>
                      </c:pt>
                      <c:pt idx="207">
                        <c:v>106.15168377072206</c:v>
                      </c:pt>
                      <c:pt idx="208">
                        <c:v>105.14854535302369</c:v>
                      </c:pt>
                      <c:pt idx="209">
                        <c:v>106.12280262625858</c:v>
                      </c:pt>
                      <c:pt idx="210">
                        <c:v>107.52257542792212</c:v>
                      </c:pt>
                      <c:pt idx="211">
                        <c:v>107.7748040895699</c:v>
                      </c:pt>
                      <c:pt idx="212">
                        <c:v>108.93390068737108</c:v>
                      </c:pt>
                      <c:pt idx="213">
                        <c:v>108.7355834953885</c:v>
                      </c:pt>
                      <c:pt idx="214">
                        <c:v>106.98153532163953</c:v>
                      </c:pt>
                      <c:pt idx="215">
                        <c:v>107.17985251362214</c:v>
                      </c:pt>
                      <c:pt idx="216">
                        <c:v>106.62918535918503</c:v>
                      </c:pt>
                      <c:pt idx="217">
                        <c:v>108.71632939907951</c:v>
                      </c:pt>
                      <c:pt idx="218">
                        <c:v>108.53919171303681</c:v>
                      </c:pt>
                      <c:pt idx="219">
                        <c:v>109.39214817952507</c:v>
                      </c:pt>
                      <c:pt idx="220">
                        <c:v>109.35363998690708</c:v>
                      </c:pt>
                      <c:pt idx="221">
                        <c:v>106.9083697556654</c:v>
                      </c:pt>
                      <c:pt idx="222">
                        <c:v>107.86144752296039</c:v>
                      </c:pt>
                      <c:pt idx="223">
                        <c:v>106.72160502146819</c:v>
                      </c:pt>
                      <c:pt idx="224">
                        <c:v>106.74470993703896</c:v>
                      </c:pt>
                      <c:pt idx="225">
                        <c:v>105.52014941178723</c:v>
                      </c:pt>
                      <c:pt idx="226">
                        <c:v>105.7242428326625</c:v>
                      </c:pt>
                      <c:pt idx="227">
                        <c:v>103.95094056260456</c:v>
                      </c:pt>
                      <c:pt idx="228">
                        <c:v>105.10426093151302</c:v>
                      </c:pt>
                      <c:pt idx="229">
                        <c:v>105.07923060631133</c:v>
                      </c:pt>
                      <c:pt idx="230">
                        <c:v>105.95144116910856</c:v>
                      </c:pt>
                      <c:pt idx="231">
                        <c:v>106.4597493116659</c:v>
                      </c:pt>
                      <c:pt idx="232">
                        <c:v>107.0065656468412</c:v>
                      </c:pt>
                      <c:pt idx="233">
                        <c:v>108.08286963051373</c:v>
                      </c:pt>
                      <c:pt idx="234">
                        <c:v>107.563009030171</c:v>
                      </c:pt>
                      <c:pt idx="235">
                        <c:v>107.26842135664346</c:v>
                      </c:pt>
                      <c:pt idx="236">
                        <c:v>107.9403893178272</c:v>
                      </c:pt>
                      <c:pt idx="237">
                        <c:v>107.17600169436031</c:v>
                      </c:pt>
                      <c:pt idx="238">
                        <c:v>108.00200242601598</c:v>
                      </c:pt>
                      <c:pt idx="239">
                        <c:v>107.85567129406766</c:v>
                      </c:pt>
                      <c:pt idx="240">
                        <c:v>108.28311223212724</c:v>
                      </c:pt>
                      <c:pt idx="241">
                        <c:v>109.6617055278509</c:v>
                      </c:pt>
                      <c:pt idx="242">
                        <c:v>108.71247857981771</c:v>
                      </c:pt>
                      <c:pt idx="243">
                        <c:v>108.84725725398063</c:v>
                      </c:pt>
                      <c:pt idx="244">
                        <c:v>109.53847931147335</c:v>
                      </c:pt>
                      <c:pt idx="245">
                        <c:v>108.06939176309744</c:v>
                      </c:pt>
                      <c:pt idx="246">
                        <c:v>106.52713864874737</c:v>
                      </c:pt>
                      <c:pt idx="247">
                        <c:v>107.29730250110696</c:v>
                      </c:pt>
                      <c:pt idx="248">
                        <c:v>108.06746635346653</c:v>
                      </c:pt>
                      <c:pt idx="249">
                        <c:v>109.37096867358512</c:v>
                      </c:pt>
                      <c:pt idx="250">
                        <c:v>109.39214817952501</c:v>
                      </c:pt>
                      <c:pt idx="251">
                        <c:v>109.37481949284692</c:v>
                      </c:pt>
                      <c:pt idx="252">
                        <c:v>109.52500144405703</c:v>
                      </c:pt>
                      <c:pt idx="253">
                        <c:v>109.66940716637446</c:v>
                      </c:pt>
                      <c:pt idx="254">
                        <c:v>110.55702100621887</c:v>
                      </c:pt>
                      <c:pt idx="255">
                        <c:v>110.61670870477673</c:v>
                      </c:pt>
                      <c:pt idx="256">
                        <c:v>108.86266053102777</c:v>
                      </c:pt>
                      <c:pt idx="257">
                        <c:v>109.26507114388565</c:v>
                      </c:pt>
                      <c:pt idx="258">
                        <c:v>109.26699655351655</c:v>
                      </c:pt>
                      <c:pt idx="259">
                        <c:v>108.30236632843618</c:v>
                      </c:pt>
                      <c:pt idx="260">
                        <c:v>108.36783025588676</c:v>
                      </c:pt>
                      <c:pt idx="261">
                        <c:v>109.80996206943007</c:v>
                      </c:pt>
                      <c:pt idx="262">
                        <c:v>107.26457053738163</c:v>
                      </c:pt>
                      <c:pt idx="263">
                        <c:v>107.25109266996533</c:v>
                      </c:pt>
                    </c:numCache>
                  </c:numRef>
                </c:val>
                <c:smooth val="0"/>
                <c:extLst>
                  <c:ext xmlns:c16="http://schemas.microsoft.com/office/drawing/2014/chart" uri="{C3380CC4-5D6E-409C-BE32-E72D297353CC}">
                    <c16:uniqueId val="{00000003-610E-4E11-9B96-CB188C2DFCB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'Currency Chart'!$Q$5</c15:sqref>
                        </c15:formulaRef>
                      </c:ext>
                    </c:extLst>
                    <c:strCache>
                      <c:ptCount val="1"/>
                      <c:pt idx="0">
                        <c:v>Rouble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Chart'!$Q$6:$Q$291</c15:sqref>
                        </c15:formulaRef>
                      </c:ext>
                    </c:extLst>
                    <c:numCache>
                      <c:formatCode>0</c:formatCode>
                      <c:ptCount val="286"/>
                      <c:pt idx="0" formatCode="General">
                        <c:v>100</c:v>
                      </c:pt>
                      <c:pt idx="1">
                        <c:v>100</c:v>
                      </c:pt>
                      <c:pt idx="2">
                        <c:v>100.66540181596422</c:v>
                      </c:pt>
                      <c:pt idx="3">
                        <c:v>100.43366309798074</c:v>
                      </c:pt>
                      <c:pt idx="4">
                        <c:v>99.88819623255182</c:v>
                      </c:pt>
                      <c:pt idx="5">
                        <c:v>100.87830329312915</c:v>
                      </c:pt>
                      <c:pt idx="6">
                        <c:v>100.03387992952973</c:v>
                      </c:pt>
                      <c:pt idx="7">
                        <c:v>101.05312372950263</c:v>
                      </c:pt>
                      <c:pt idx="8">
                        <c:v>99.534625287979395</c:v>
                      </c:pt>
                      <c:pt idx="9">
                        <c:v>99.928852147987513</c:v>
                      </c:pt>
                      <c:pt idx="10">
                        <c:v>99.091475809730312</c:v>
                      </c:pt>
                      <c:pt idx="11">
                        <c:v>99.34950535302886</c:v>
                      </c:pt>
                      <c:pt idx="12">
                        <c:v>100.01626236617427</c:v>
                      </c:pt>
                      <c:pt idx="13">
                        <c:v>99.803496408727455</c:v>
                      </c:pt>
                      <c:pt idx="14">
                        <c:v>99.443013958530955</c:v>
                      </c:pt>
                      <c:pt idx="15">
                        <c:v>99.935628133893459</c:v>
                      </c:pt>
                      <c:pt idx="16">
                        <c:v>101.84306816641819</c:v>
                      </c:pt>
                      <c:pt idx="17">
                        <c:v>102.09730315760939</c:v>
                      </c:pt>
                      <c:pt idx="18">
                        <c:v>101.64656457514565</c:v>
                      </c:pt>
                      <c:pt idx="19">
                        <c:v>102.61187152730717</c:v>
                      </c:pt>
                      <c:pt idx="20">
                        <c:v>102.83507250304916</c:v>
                      </c:pt>
                      <c:pt idx="21">
                        <c:v>102.65618647513209</c:v>
                      </c:pt>
                      <c:pt idx="22">
                        <c:v>103.00447215069789</c:v>
                      </c:pt>
                      <c:pt idx="23">
                        <c:v>103.18064778425257</c:v>
                      </c:pt>
                      <c:pt idx="24">
                        <c:v>102.77273343271442</c:v>
                      </c:pt>
                      <c:pt idx="25">
                        <c:v>102.18213850115187</c:v>
                      </c:pt>
                      <c:pt idx="26">
                        <c:v>101.03266025206665</c:v>
                      </c:pt>
                      <c:pt idx="27">
                        <c:v>100.6248814202466</c:v>
                      </c:pt>
                      <c:pt idx="28">
                        <c:v>100.01490716899305</c:v>
                      </c:pt>
                      <c:pt idx="29">
                        <c:v>100.1016397885892</c:v>
                      </c:pt>
                      <c:pt idx="30">
                        <c:v>99.692641279306102</c:v>
                      </c:pt>
                      <c:pt idx="31">
                        <c:v>99.634096761078709</c:v>
                      </c:pt>
                      <c:pt idx="32">
                        <c:v>99.265347608076951</c:v>
                      </c:pt>
                      <c:pt idx="33">
                        <c:v>99.704567014500583</c:v>
                      </c:pt>
                      <c:pt idx="34">
                        <c:v>99.84957311288791</c:v>
                      </c:pt>
                      <c:pt idx="35">
                        <c:v>100.04065591543566</c:v>
                      </c:pt>
                      <c:pt idx="36">
                        <c:v>100.21683154899037</c:v>
                      </c:pt>
                      <c:pt idx="37">
                        <c:v>100.34964087274696</c:v>
                      </c:pt>
                      <c:pt idx="38">
                        <c:v>100.64995256809863</c:v>
                      </c:pt>
                      <c:pt idx="39">
                        <c:v>100.20598997154082</c:v>
                      </c:pt>
                      <c:pt idx="40">
                        <c:v>99.497221845778512</c:v>
                      </c:pt>
                      <c:pt idx="41">
                        <c:v>101.1546279983737</c:v>
                      </c:pt>
                      <c:pt idx="42">
                        <c:v>100.49600216831544</c:v>
                      </c:pt>
                      <c:pt idx="43">
                        <c:v>100.59086597099872</c:v>
                      </c:pt>
                      <c:pt idx="44">
                        <c:v>99.884808239598797</c:v>
                      </c:pt>
                      <c:pt idx="45">
                        <c:v>100.20734516872199</c:v>
                      </c:pt>
                      <c:pt idx="46">
                        <c:v>101.00650494646965</c:v>
                      </c:pt>
                      <c:pt idx="47">
                        <c:v>100.43366309798068</c:v>
                      </c:pt>
                      <c:pt idx="48">
                        <c:v>100.75552242851326</c:v>
                      </c:pt>
                      <c:pt idx="49">
                        <c:v>100.07860143650892</c:v>
                      </c:pt>
                      <c:pt idx="50">
                        <c:v>99.48502507114776</c:v>
                      </c:pt>
                      <c:pt idx="51">
                        <c:v>99.31020463477428</c:v>
                      </c:pt>
                      <c:pt idx="52">
                        <c:v>98.871798346659347</c:v>
                      </c:pt>
                      <c:pt idx="53">
                        <c:v>98.526223065455937</c:v>
                      </c:pt>
                      <c:pt idx="54">
                        <c:v>98.332294348827659</c:v>
                      </c:pt>
                      <c:pt idx="55">
                        <c:v>99.850928310069037</c:v>
                      </c:pt>
                      <c:pt idx="56">
                        <c:v>100.49125897818124</c:v>
                      </c:pt>
                      <c:pt idx="57">
                        <c:v>100.38081040791425</c:v>
                      </c:pt>
                      <c:pt idx="58">
                        <c:v>101.14107602656179</c:v>
                      </c:pt>
                      <c:pt idx="59">
                        <c:v>103.46185119934943</c:v>
                      </c:pt>
                      <c:pt idx="60">
                        <c:v>103.72232009757411</c:v>
                      </c:pt>
                      <c:pt idx="61">
                        <c:v>103.02425802954322</c:v>
                      </c:pt>
                      <c:pt idx="62">
                        <c:v>102.51795636265066</c:v>
                      </c:pt>
                      <c:pt idx="63">
                        <c:v>102.29570402493553</c:v>
                      </c:pt>
                      <c:pt idx="64">
                        <c:v>102.61864751321309</c:v>
                      </c:pt>
                      <c:pt idx="65">
                        <c:v>102.44071012332284</c:v>
                      </c:pt>
                      <c:pt idx="66">
                        <c:v>103.27280119257343</c:v>
                      </c:pt>
                      <c:pt idx="67">
                        <c:v>103.64548041740065</c:v>
                      </c:pt>
                      <c:pt idx="68">
                        <c:v>103.46036048245011</c:v>
                      </c:pt>
                      <c:pt idx="69">
                        <c:v>104.45859872611456</c:v>
                      </c:pt>
                      <c:pt idx="70">
                        <c:v>104.21466323350039</c:v>
                      </c:pt>
                      <c:pt idx="71">
                        <c:v>103.93820300853764</c:v>
                      </c:pt>
                      <c:pt idx="72">
                        <c:v>104.82450196503582</c:v>
                      </c:pt>
                      <c:pt idx="73">
                        <c:v>104.69169264127922</c:v>
                      </c:pt>
                      <c:pt idx="74">
                        <c:v>102.85946605231054</c:v>
                      </c:pt>
                      <c:pt idx="75">
                        <c:v>102.49085241902688</c:v>
                      </c:pt>
                      <c:pt idx="76">
                        <c:v>103.412386502236</c:v>
                      </c:pt>
                      <c:pt idx="77">
                        <c:v>102.7273343271445</c:v>
                      </c:pt>
                      <c:pt idx="78">
                        <c:v>103.36224420653197</c:v>
                      </c:pt>
                      <c:pt idx="79">
                        <c:v>104.03035641685855</c:v>
                      </c:pt>
                      <c:pt idx="80">
                        <c:v>103.61160048787089</c:v>
                      </c:pt>
                      <c:pt idx="81">
                        <c:v>101.93115598319547</c:v>
                      </c:pt>
                      <c:pt idx="82">
                        <c:v>101.2440710123322</c:v>
                      </c:pt>
                      <c:pt idx="83">
                        <c:v>101.2440710123322</c:v>
                      </c:pt>
                      <c:pt idx="84">
                        <c:v>101.57202873018016</c:v>
                      </c:pt>
                      <c:pt idx="85">
                        <c:v>101.4866513077652</c:v>
                      </c:pt>
                      <c:pt idx="86">
                        <c:v>100.72448841306402</c:v>
                      </c:pt>
                      <c:pt idx="87">
                        <c:v>100.92492207616199</c:v>
                      </c:pt>
                      <c:pt idx="88">
                        <c:v>101.85662013823001</c:v>
                      </c:pt>
                      <c:pt idx="89">
                        <c:v>101.43921940642355</c:v>
                      </c:pt>
                      <c:pt idx="90">
                        <c:v>101.03672584361017</c:v>
                      </c:pt>
                      <c:pt idx="91">
                        <c:v>101.23593982924507</c:v>
                      </c:pt>
                      <c:pt idx="92">
                        <c:v>100.52039571757683</c:v>
                      </c:pt>
                      <c:pt idx="93">
                        <c:v>99.688304648326252</c:v>
                      </c:pt>
                      <c:pt idx="94">
                        <c:v>100.59967475267644</c:v>
                      </c:pt>
                      <c:pt idx="95">
                        <c:v>100.2168315489903</c:v>
                      </c:pt>
                      <c:pt idx="96">
                        <c:v>100.93508605502093</c:v>
                      </c:pt>
                      <c:pt idx="97">
                        <c:v>100.25748746442601</c:v>
                      </c:pt>
                      <c:pt idx="98">
                        <c:v>100.08402222523371</c:v>
                      </c:pt>
                      <c:pt idx="99">
                        <c:v>99.970185662013748</c:v>
                      </c:pt>
                      <c:pt idx="100">
                        <c:v>99.67746307087674</c:v>
                      </c:pt>
                      <c:pt idx="101">
                        <c:v>99.874373221303614</c:v>
                      </c:pt>
                      <c:pt idx="102">
                        <c:v>99.53923295839536</c:v>
                      </c:pt>
                      <c:pt idx="103">
                        <c:v>99.611058408998417</c:v>
                      </c:pt>
                      <c:pt idx="104">
                        <c:v>99.474183493698249</c:v>
                      </c:pt>
                      <c:pt idx="105">
                        <c:v>99.538690879522889</c:v>
                      </c:pt>
                      <c:pt idx="106">
                        <c:v>99.524325789402269</c:v>
                      </c:pt>
                      <c:pt idx="107">
                        <c:v>99.365767719203063</c:v>
                      </c:pt>
                      <c:pt idx="108">
                        <c:v>98.933459818403492</c:v>
                      </c:pt>
                      <c:pt idx="109">
                        <c:v>99.268193522157375</c:v>
                      </c:pt>
                      <c:pt idx="110">
                        <c:v>99.525680986583453</c:v>
                      </c:pt>
                      <c:pt idx="111">
                        <c:v>98.999864480281801</c:v>
                      </c:pt>
                      <c:pt idx="112">
                        <c:v>98.847540317116056</c:v>
                      </c:pt>
                      <c:pt idx="113">
                        <c:v>98.577042959750557</c:v>
                      </c:pt>
                      <c:pt idx="114">
                        <c:v>98.561187152730639</c:v>
                      </c:pt>
                      <c:pt idx="115">
                        <c:v>97.859872611464894</c:v>
                      </c:pt>
                      <c:pt idx="116">
                        <c:v>97.925193115598233</c:v>
                      </c:pt>
                      <c:pt idx="117">
                        <c:v>97.208293806748799</c:v>
                      </c:pt>
                      <c:pt idx="118">
                        <c:v>97.307223200975642</c:v>
                      </c:pt>
                      <c:pt idx="119">
                        <c:v>97.538961918959103</c:v>
                      </c:pt>
                      <c:pt idx="120">
                        <c:v>97.811356552378257</c:v>
                      </c:pt>
                      <c:pt idx="121">
                        <c:v>98.39056782761881</c:v>
                      </c:pt>
                      <c:pt idx="122">
                        <c:v>97.914351538148694</c:v>
                      </c:pt>
                      <c:pt idx="123">
                        <c:v>98.506572706328654</c:v>
                      </c:pt>
                      <c:pt idx="124">
                        <c:v>98.932104621222265</c:v>
                      </c:pt>
                      <c:pt idx="125">
                        <c:v>98.617698875186207</c:v>
                      </c:pt>
                      <c:pt idx="126">
                        <c:v>98.16641821384998</c:v>
                      </c:pt>
                      <c:pt idx="127">
                        <c:v>97.780864615801462</c:v>
                      </c:pt>
                      <c:pt idx="128">
                        <c:v>97.692099200433532</c:v>
                      </c:pt>
                      <c:pt idx="129">
                        <c:v>97.715137552513752</c:v>
                      </c:pt>
                      <c:pt idx="130">
                        <c:v>98.530966255590059</c:v>
                      </c:pt>
                      <c:pt idx="131">
                        <c:v>98.895514297330124</c:v>
                      </c:pt>
                      <c:pt idx="132">
                        <c:v>99.331752269955146</c:v>
                      </c:pt>
                      <c:pt idx="133">
                        <c:v>99.051361973166976</c:v>
                      </c:pt>
                      <c:pt idx="134">
                        <c:v>99.361702127659456</c:v>
                      </c:pt>
                      <c:pt idx="135">
                        <c:v>100.73858246374833</c:v>
                      </c:pt>
                      <c:pt idx="136">
                        <c:v>100.95541401273871</c:v>
                      </c:pt>
                      <c:pt idx="137">
                        <c:v>101.07060577313986</c:v>
                      </c:pt>
                      <c:pt idx="138">
                        <c:v>100.71744138772179</c:v>
                      </c:pt>
                      <c:pt idx="139">
                        <c:v>100.7503726792247</c:v>
                      </c:pt>
                      <c:pt idx="140">
                        <c:v>100.70199213985623</c:v>
                      </c:pt>
                      <c:pt idx="141">
                        <c:v>100.34015449247852</c:v>
                      </c:pt>
                      <c:pt idx="142">
                        <c:v>100.58043095270349</c:v>
                      </c:pt>
                      <c:pt idx="143">
                        <c:v>100.27374983060024</c:v>
                      </c:pt>
                      <c:pt idx="144">
                        <c:v>101.078736956227</c:v>
                      </c:pt>
                      <c:pt idx="145">
                        <c:v>100.61390432307887</c:v>
                      </c:pt>
                      <c:pt idx="146">
                        <c:v>100.10841577449507</c:v>
                      </c:pt>
                      <c:pt idx="147">
                        <c:v>99.682883859601446</c:v>
                      </c:pt>
                      <c:pt idx="148">
                        <c:v>99.89293942268587</c:v>
                      </c:pt>
                      <c:pt idx="149">
                        <c:v>99.718796584902961</c:v>
                      </c:pt>
                      <c:pt idx="150">
                        <c:v>99.879387450873949</c:v>
                      </c:pt>
                      <c:pt idx="151">
                        <c:v>99.437593169806064</c:v>
                      </c:pt>
                      <c:pt idx="152">
                        <c:v>99.041197994308021</c:v>
                      </c:pt>
                      <c:pt idx="153">
                        <c:v>99.027646022496143</c:v>
                      </c:pt>
                      <c:pt idx="154">
                        <c:v>98.692234720151646</c:v>
                      </c:pt>
                      <c:pt idx="155">
                        <c:v>98.832904187559151</c:v>
                      </c:pt>
                      <c:pt idx="156">
                        <c:v>99.018837240818399</c:v>
                      </c:pt>
                      <c:pt idx="157">
                        <c:v>99.00203279577164</c:v>
                      </c:pt>
                      <c:pt idx="158">
                        <c:v>99.600216831548849</c:v>
                      </c:pt>
                      <c:pt idx="159">
                        <c:v>99.746578127117346</c:v>
                      </c:pt>
                      <c:pt idx="160">
                        <c:v>100.10435018295148</c:v>
                      </c:pt>
                      <c:pt idx="161">
                        <c:v>99.455210733161536</c:v>
                      </c:pt>
                      <c:pt idx="162">
                        <c:v>99.650359127252855</c:v>
                      </c:pt>
                      <c:pt idx="163">
                        <c:v>99.135384198400715</c:v>
                      </c:pt>
                      <c:pt idx="164">
                        <c:v>99.11912183222644</c:v>
                      </c:pt>
                      <c:pt idx="165">
                        <c:v>99.567556579482158</c:v>
                      </c:pt>
                      <c:pt idx="166">
                        <c:v>99.549261417536101</c:v>
                      </c:pt>
                      <c:pt idx="167">
                        <c:v>100.21344355603725</c:v>
                      </c:pt>
                      <c:pt idx="168">
                        <c:v>100.64371866106504</c:v>
                      </c:pt>
                      <c:pt idx="169">
                        <c:v>100.14595473641401</c:v>
                      </c:pt>
                      <c:pt idx="170">
                        <c:v>99.698468627185122</c:v>
                      </c:pt>
                      <c:pt idx="171">
                        <c:v>99.952568098658205</c:v>
                      </c:pt>
                      <c:pt idx="172">
                        <c:v>100.44179428106774</c:v>
                      </c:pt>
                      <c:pt idx="173">
                        <c:v>99.535167366851738</c:v>
                      </c:pt>
                      <c:pt idx="174">
                        <c:v>99.47431901341632</c:v>
                      </c:pt>
                      <c:pt idx="175">
                        <c:v>99.088629895649689</c:v>
                      </c:pt>
                      <c:pt idx="176">
                        <c:v>98.87518633961227</c:v>
                      </c:pt>
                      <c:pt idx="177">
                        <c:v>98.701721100419974</c:v>
                      </c:pt>
                      <c:pt idx="178">
                        <c:v>98.583818945656475</c:v>
                      </c:pt>
                      <c:pt idx="179">
                        <c:v>98.860279170619194</c:v>
                      </c:pt>
                      <c:pt idx="180">
                        <c:v>99.287166282693988</c:v>
                      </c:pt>
                      <c:pt idx="181">
                        <c:v>99.088629895649689</c:v>
                      </c:pt>
                      <c:pt idx="182">
                        <c:v>98.861634367800377</c:v>
                      </c:pt>
                      <c:pt idx="183">
                        <c:v>99.04187559289862</c:v>
                      </c:pt>
                      <c:pt idx="184">
                        <c:v>98.272123593982784</c:v>
                      </c:pt>
                      <c:pt idx="185">
                        <c:v>98.80471608619041</c:v>
                      </c:pt>
                      <c:pt idx="186">
                        <c:v>97.801192573519316</c:v>
                      </c:pt>
                      <c:pt idx="187">
                        <c:v>97.832904187559151</c:v>
                      </c:pt>
                      <c:pt idx="188">
                        <c:v>98.6583547906219</c:v>
                      </c:pt>
                      <c:pt idx="189">
                        <c:v>99.341916248814059</c:v>
                      </c:pt>
                      <c:pt idx="190">
                        <c:v>99.017482043637202</c:v>
                      </c:pt>
                      <c:pt idx="191">
                        <c:v>98.739666621493285</c:v>
                      </c:pt>
                      <c:pt idx="192">
                        <c:v>98.548719338663631</c:v>
                      </c:pt>
                      <c:pt idx="193">
                        <c:v>98.383927361430935</c:v>
                      </c:pt>
                      <c:pt idx="194">
                        <c:v>98.330803631928305</c:v>
                      </c:pt>
                      <c:pt idx="195">
                        <c:v>98.537064642905392</c:v>
                      </c:pt>
                      <c:pt idx="196">
                        <c:v>98.707141889144722</c:v>
                      </c:pt>
                      <c:pt idx="197">
                        <c:v>98.356823417807149</c:v>
                      </c:pt>
                      <c:pt idx="198">
                        <c:v>98.356823417807149</c:v>
                      </c:pt>
                      <c:pt idx="199">
                        <c:v>97.98075620002696</c:v>
                      </c:pt>
                      <c:pt idx="200">
                        <c:v>97.892668383249614</c:v>
                      </c:pt>
                      <c:pt idx="201">
                        <c:v>98.068844016804292</c:v>
                      </c:pt>
                      <c:pt idx="202">
                        <c:v>97.164249898360069</c:v>
                      </c:pt>
                      <c:pt idx="203">
                        <c:v>97.270632877083457</c:v>
                      </c:pt>
                      <c:pt idx="204">
                        <c:v>97.023986990106891</c:v>
                      </c:pt>
                      <c:pt idx="205">
                        <c:v>97.164927496950639</c:v>
                      </c:pt>
                      <c:pt idx="206">
                        <c:v>97.464426073993607</c:v>
                      </c:pt>
                      <c:pt idx="207">
                        <c:v>96.605231061119241</c:v>
                      </c:pt>
                      <c:pt idx="208">
                        <c:v>95.98726114649665</c:v>
                      </c:pt>
                      <c:pt idx="209">
                        <c:v>96.38162352622291</c:v>
                      </c:pt>
                      <c:pt idx="210">
                        <c:v>95.920856484618355</c:v>
                      </c:pt>
                      <c:pt idx="211">
                        <c:v>95.717576907439863</c:v>
                      </c:pt>
                      <c:pt idx="212">
                        <c:v>96.246103808103911</c:v>
                      </c:pt>
                      <c:pt idx="213">
                        <c:v>95.263585851741269</c:v>
                      </c:pt>
                      <c:pt idx="214">
                        <c:v>94.500609838731378</c:v>
                      </c:pt>
                      <c:pt idx="215">
                        <c:v>93.945250033879773</c:v>
                      </c:pt>
                      <c:pt idx="216">
                        <c:v>95.655508876541376</c:v>
                      </c:pt>
                      <c:pt idx="217">
                        <c:v>94.94850250711464</c:v>
                      </c:pt>
                      <c:pt idx="218">
                        <c:v>96.03266025206652</c:v>
                      </c:pt>
                      <c:pt idx="219">
                        <c:v>96.784794687626913</c:v>
                      </c:pt>
                      <c:pt idx="220">
                        <c:v>96.71025884266146</c:v>
                      </c:pt>
                      <c:pt idx="221">
                        <c:v>97.124271581514961</c:v>
                      </c:pt>
                      <c:pt idx="222">
                        <c:v>96.628947011790046</c:v>
                      </c:pt>
                      <c:pt idx="223">
                        <c:v>96.238650223607365</c:v>
                      </c:pt>
                      <c:pt idx="224">
                        <c:v>96.540181596422102</c:v>
                      </c:pt>
                      <c:pt idx="225">
                        <c:v>95.594253963951587</c:v>
                      </c:pt>
                      <c:pt idx="226">
                        <c:v>96.422279441658603</c:v>
                      </c:pt>
                      <c:pt idx="227">
                        <c:v>96.764466729909046</c:v>
                      </c:pt>
                      <c:pt idx="228">
                        <c:v>98.587884537199997</c:v>
                      </c:pt>
                      <c:pt idx="229">
                        <c:v>98.089171974522117</c:v>
                      </c:pt>
                      <c:pt idx="230">
                        <c:v>98.849437593169625</c:v>
                      </c:pt>
                      <c:pt idx="231">
                        <c:v>98.014229570402321</c:v>
                      </c:pt>
                      <c:pt idx="232">
                        <c:v>98.940235804309339</c:v>
                      </c:pt>
                      <c:pt idx="233">
                        <c:v>99.220761620815665</c:v>
                      </c:pt>
                      <c:pt idx="234">
                        <c:v>101.40127388535015</c:v>
                      </c:pt>
                      <c:pt idx="235">
                        <c:v>100.64236346388383</c:v>
                      </c:pt>
                      <c:pt idx="236">
                        <c:v>101.33351402629067</c:v>
                      </c:pt>
                      <c:pt idx="237">
                        <c:v>100.99742512535558</c:v>
                      </c:pt>
                      <c:pt idx="238">
                        <c:v>102.01246781406678</c:v>
                      </c:pt>
                      <c:pt idx="239">
                        <c:v>100.6328770836155</c:v>
                      </c:pt>
                      <c:pt idx="240">
                        <c:v>100.07440032524714</c:v>
                      </c:pt>
                      <c:pt idx="241">
                        <c:v>100.59222116817979</c:v>
                      </c:pt>
                      <c:pt idx="242">
                        <c:v>99.651714324434025</c:v>
                      </c:pt>
                      <c:pt idx="243">
                        <c:v>99.86448028188083</c:v>
                      </c:pt>
                      <c:pt idx="244">
                        <c:v>100.31440574603587</c:v>
                      </c:pt>
                      <c:pt idx="245">
                        <c:v>100.08537742241477</c:v>
                      </c:pt>
                      <c:pt idx="246">
                        <c:v>99.413877219135202</c:v>
                      </c:pt>
                      <c:pt idx="247">
                        <c:v>99.396937254370329</c:v>
                      </c:pt>
                      <c:pt idx="248">
                        <c:v>99.21398563490969</c:v>
                      </c:pt>
                      <c:pt idx="249">
                        <c:v>99.456565930342677</c:v>
                      </c:pt>
                      <c:pt idx="250">
                        <c:v>99.917332971947246</c:v>
                      </c:pt>
                      <c:pt idx="251">
                        <c:v>99.605637620273583</c:v>
                      </c:pt>
                      <c:pt idx="252">
                        <c:v>99.823824366445137</c:v>
                      </c:pt>
                      <c:pt idx="253">
                        <c:v>100.3224014094049</c:v>
                      </c:pt>
                      <c:pt idx="254">
                        <c:v>100.37267922482704</c:v>
                      </c:pt>
                      <c:pt idx="255">
                        <c:v>100.13958530966239</c:v>
                      </c:pt>
                      <c:pt idx="256">
                        <c:v>99.588020056918126</c:v>
                      </c:pt>
                      <c:pt idx="257">
                        <c:v>99.284726927767835</c:v>
                      </c:pt>
                      <c:pt idx="258">
                        <c:v>99.759452500338625</c:v>
                      </c:pt>
                      <c:pt idx="259">
                        <c:v>99.13199620544772</c:v>
                      </c:pt>
                      <c:pt idx="260">
                        <c:v>99.678547228621582</c:v>
                      </c:pt>
                      <c:pt idx="261">
                        <c:v>99.799295297465605</c:v>
                      </c:pt>
                      <c:pt idx="262">
                        <c:v>100.93738989022884</c:v>
                      </c:pt>
                      <c:pt idx="263">
                        <c:v>101.04445046754284</c:v>
                      </c:pt>
                    </c:numCache>
                  </c:numRef>
                </c:val>
                <c:smooth val="0"/>
                <c:extLst xmlns:c15="http://schemas.microsoft.com/office/drawing/2012/chart">
                  <c:ext xmlns:c16="http://schemas.microsoft.com/office/drawing/2014/chart" uri="{C3380CC4-5D6E-409C-BE32-E72D297353CC}">
                    <c16:uniqueId val="{00000004-610E-4E11-9B96-CB188C2DFCB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'Currency Chart'!$S$5</c15:sqref>
                        </c15:formulaRef>
                      </c:ext>
                    </c:extLst>
                    <c:strCache>
                      <c:ptCount val="1"/>
                      <c:pt idx="0">
                        <c:v>Renminbi</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Chart'!$S$6:$S$291</c15:sqref>
                        </c15:formulaRef>
                      </c:ext>
                    </c:extLst>
                    <c:numCache>
                      <c:formatCode>0</c:formatCode>
                      <c:ptCount val="286"/>
                      <c:pt idx="0" formatCode="General">
                        <c:v>100</c:v>
                      </c:pt>
                      <c:pt idx="1">
                        <c:v>100</c:v>
                      </c:pt>
                      <c:pt idx="2">
                        <c:v>99.005363984674318</c:v>
                      </c:pt>
                      <c:pt idx="3">
                        <c:v>98.927203065134094</c:v>
                      </c:pt>
                      <c:pt idx="4">
                        <c:v>99.029885057471262</c:v>
                      </c:pt>
                      <c:pt idx="5">
                        <c:v>99.249042145593862</c:v>
                      </c:pt>
                      <c:pt idx="6">
                        <c:v>99.233716475095775</c:v>
                      </c:pt>
                      <c:pt idx="7">
                        <c:v>99.302681992337156</c:v>
                      </c:pt>
                      <c:pt idx="8">
                        <c:v>99.019157088122597</c:v>
                      </c:pt>
                      <c:pt idx="9">
                        <c:v>99.12183908045975</c:v>
                      </c:pt>
                      <c:pt idx="10">
                        <c:v>99.21226053639846</c:v>
                      </c:pt>
                      <c:pt idx="11">
                        <c:v>99.310344827586192</c:v>
                      </c:pt>
                      <c:pt idx="12">
                        <c:v>99.46666666666664</c:v>
                      </c:pt>
                      <c:pt idx="13">
                        <c:v>99.275095785440584</c:v>
                      </c:pt>
                      <c:pt idx="14">
                        <c:v>99.080459770114928</c:v>
                      </c:pt>
                      <c:pt idx="15">
                        <c:v>98.996168582375475</c:v>
                      </c:pt>
                      <c:pt idx="16">
                        <c:v>99.325670498084264</c:v>
                      </c:pt>
                      <c:pt idx="17">
                        <c:v>99.285823754789249</c:v>
                      </c:pt>
                      <c:pt idx="18">
                        <c:v>99.057471264367791</c:v>
                      </c:pt>
                      <c:pt idx="19">
                        <c:v>99.344061302681979</c:v>
                      </c:pt>
                      <c:pt idx="20">
                        <c:v>98.836781609195398</c:v>
                      </c:pt>
                      <c:pt idx="21">
                        <c:v>98.467432950191579</c:v>
                      </c:pt>
                      <c:pt idx="22">
                        <c:v>99.109578544061321</c:v>
                      </c:pt>
                      <c:pt idx="23">
                        <c:v>98.92873563218393</c:v>
                      </c:pt>
                      <c:pt idx="24">
                        <c:v>98.971647509578574</c:v>
                      </c:pt>
                      <c:pt idx="25">
                        <c:v>99.180076628352523</c:v>
                      </c:pt>
                      <c:pt idx="26">
                        <c:v>99.101915708812299</c:v>
                      </c:pt>
                      <c:pt idx="27">
                        <c:v>98.764750957854432</c:v>
                      </c:pt>
                      <c:pt idx="28">
                        <c:v>98.611494252873584</c:v>
                      </c:pt>
                      <c:pt idx="29">
                        <c:v>98.967049808429138</c:v>
                      </c:pt>
                      <c:pt idx="30">
                        <c:v>98.914942528735651</c:v>
                      </c:pt>
                      <c:pt idx="31">
                        <c:v>98.914942528735651</c:v>
                      </c:pt>
                      <c:pt idx="32">
                        <c:v>98.914942528735651</c:v>
                      </c:pt>
                      <c:pt idx="33">
                        <c:v>98.914942528735651</c:v>
                      </c:pt>
                      <c:pt idx="34">
                        <c:v>98.914942528735651</c:v>
                      </c:pt>
                      <c:pt idx="35">
                        <c:v>99.416091954023003</c:v>
                      </c:pt>
                      <c:pt idx="36">
                        <c:v>98.934865900383144</c:v>
                      </c:pt>
                      <c:pt idx="37">
                        <c:v>98.934865900383144</c:v>
                      </c:pt>
                      <c:pt idx="38">
                        <c:v>99.042145593869748</c:v>
                      </c:pt>
                      <c:pt idx="39">
                        <c:v>99.065134099616884</c:v>
                      </c:pt>
                      <c:pt idx="40">
                        <c:v>98.936398467432966</c:v>
                      </c:pt>
                      <c:pt idx="41">
                        <c:v>98.913409961685858</c:v>
                      </c:pt>
                      <c:pt idx="42">
                        <c:v>99.203065134099646</c:v>
                      </c:pt>
                      <c:pt idx="43">
                        <c:v>99.07739463601537</c:v>
                      </c:pt>
                      <c:pt idx="44">
                        <c:v>99.160153256705016</c:v>
                      </c:pt>
                      <c:pt idx="45">
                        <c:v>99.118773946360193</c:v>
                      </c:pt>
                      <c:pt idx="46">
                        <c:v>99.147892720306558</c:v>
                      </c:pt>
                      <c:pt idx="47">
                        <c:v>99.555555555555614</c:v>
                      </c:pt>
                      <c:pt idx="48">
                        <c:v>100.00000000000007</c:v>
                      </c:pt>
                      <c:pt idx="49">
                        <c:v>99.693486590038376</c:v>
                      </c:pt>
                      <c:pt idx="50">
                        <c:v>99.693486590038376</c:v>
                      </c:pt>
                      <c:pt idx="51">
                        <c:v>99.512643678160984</c:v>
                      </c:pt>
                      <c:pt idx="52">
                        <c:v>99.740996168582441</c:v>
                      </c:pt>
                      <c:pt idx="53">
                        <c:v>99.61072796934873</c:v>
                      </c:pt>
                      <c:pt idx="54">
                        <c:v>99.69655172413799</c:v>
                      </c:pt>
                      <c:pt idx="55">
                        <c:v>99.662835249042203</c:v>
                      </c:pt>
                      <c:pt idx="56">
                        <c:v>99.699616858237604</c:v>
                      </c:pt>
                      <c:pt idx="57">
                        <c:v>99.724137931034534</c:v>
                      </c:pt>
                      <c:pt idx="58">
                        <c:v>99.724137931034534</c:v>
                      </c:pt>
                      <c:pt idx="59">
                        <c:v>99.862068965517295</c:v>
                      </c:pt>
                      <c:pt idx="60">
                        <c:v>99.96934865900387</c:v>
                      </c:pt>
                      <c:pt idx="61">
                        <c:v>100.30957854406135</c:v>
                      </c:pt>
                      <c:pt idx="62">
                        <c:v>100.24827586206901</c:v>
                      </c:pt>
                      <c:pt idx="63">
                        <c:v>100.65593869731806</c:v>
                      </c:pt>
                      <c:pt idx="64">
                        <c:v>100.71417624521079</c:v>
                      </c:pt>
                      <c:pt idx="65">
                        <c:v>100.41072796934873</c:v>
                      </c:pt>
                      <c:pt idx="66">
                        <c:v>100.6053639846744</c:v>
                      </c:pt>
                      <c:pt idx="67">
                        <c:v>100.60689655172422</c:v>
                      </c:pt>
                      <c:pt idx="68">
                        <c:v>100.60689655172422</c:v>
                      </c:pt>
                      <c:pt idx="69">
                        <c:v>100.18390804597709</c:v>
                      </c:pt>
                      <c:pt idx="70">
                        <c:v>100.25287356321846</c:v>
                      </c:pt>
                      <c:pt idx="71">
                        <c:v>100.39080459770122</c:v>
                      </c:pt>
                      <c:pt idx="72">
                        <c:v>100.41685823754794</c:v>
                      </c:pt>
                      <c:pt idx="73">
                        <c:v>100.29578544061307</c:v>
                      </c:pt>
                      <c:pt idx="74">
                        <c:v>100.27739463601537</c:v>
                      </c:pt>
                      <c:pt idx="75">
                        <c:v>100.064367816092</c:v>
                      </c:pt>
                      <c:pt idx="76">
                        <c:v>99.954022988505798</c:v>
                      </c:pt>
                      <c:pt idx="77">
                        <c:v>99.927969348659047</c:v>
                      </c:pt>
                      <c:pt idx="78">
                        <c:v>99.747126436781656</c:v>
                      </c:pt>
                      <c:pt idx="79">
                        <c:v>99.587739463601579</c:v>
                      </c:pt>
                      <c:pt idx="80">
                        <c:v>99.468199233716518</c:v>
                      </c:pt>
                      <c:pt idx="81">
                        <c:v>99.478927203065155</c:v>
                      </c:pt>
                      <c:pt idx="82">
                        <c:v>99.532567049808463</c:v>
                      </c:pt>
                      <c:pt idx="83">
                        <c:v>99.532567049808463</c:v>
                      </c:pt>
                      <c:pt idx="84">
                        <c:v>99.377777777777808</c:v>
                      </c:pt>
                      <c:pt idx="85">
                        <c:v>99.356321839080479</c:v>
                      </c:pt>
                      <c:pt idx="86">
                        <c:v>99.265900383141783</c:v>
                      </c:pt>
                      <c:pt idx="87">
                        <c:v>99.172413793103473</c:v>
                      </c:pt>
                      <c:pt idx="88">
                        <c:v>99.203065134099646</c:v>
                      </c:pt>
                      <c:pt idx="89">
                        <c:v>99.203065134099646</c:v>
                      </c:pt>
                      <c:pt idx="90">
                        <c:v>99.203065134099646</c:v>
                      </c:pt>
                      <c:pt idx="91">
                        <c:v>99.203065134099646</c:v>
                      </c:pt>
                      <c:pt idx="92">
                        <c:v>99.000766283524939</c:v>
                      </c:pt>
                      <c:pt idx="93">
                        <c:v>98.559386973180111</c:v>
                      </c:pt>
                      <c:pt idx="94">
                        <c:v>98.323371647509617</c:v>
                      </c:pt>
                      <c:pt idx="95">
                        <c:v>98.521072796934902</c:v>
                      </c:pt>
                      <c:pt idx="96">
                        <c:v>98.951724137931066</c:v>
                      </c:pt>
                      <c:pt idx="97">
                        <c:v>98.859770114942563</c:v>
                      </c:pt>
                      <c:pt idx="98">
                        <c:v>98.646743295019206</c:v>
                      </c:pt>
                      <c:pt idx="99">
                        <c:v>98.678927203065186</c:v>
                      </c:pt>
                      <c:pt idx="100">
                        <c:v>98.467432950191622</c:v>
                      </c:pt>
                      <c:pt idx="101">
                        <c:v>98.608429118773984</c:v>
                      </c:pt>
                      <c:pt idx="102">
                        <c:v>98.603831417624576</c:v>
                      </c:pt>
                      <c:pt idx="103">
                        <c:v>98.603831417624576</c:v>
                      </c:pt>
                      <c:pt idx="104">
                        <c:v>98.355555555555597</c:v>
                      </c:pt>
                      <c:pt idx="105">
                        <c:v>98.237547892720357</c:v>
                      </c:pt>
                      <c:pt idx="106">
                        <c:v>97.938697318007712</c:v>
                      </c:pt>
                      <c:pt idx="107">
                        <c:v>97.814559386973229</c:v>
                      </c:pt>
                      <c:pt idx="108">
                        <c:v>97.584674329501979</c:v>
                      </c:pt>
                      <c:pt idx="109">
                        <c:v>97.606130268199294</c:v>
                      </c:pt>
                      <c:pt idx="110">
                        <c:v>97.771647509578614</c:v>
                      </c:pt>
                      <c:pt idx="111">
                        <c:v>97.785440613026879</c:v>
                      </c:pt>
                      <c:pt idx="112">
                        <c:v>98.139463601532626</c:v>
                      </c:pt>
                      <c:pt idx="113">
                        <c:v>98.000000000000057</c:v>
                      </c:pt>
                      <c:pt idx="114">
                        <c:v>98.027586206896615</c:v>
                      </c:pt>
                      <c:pt idx="115">
                        <c:v>98.084291187739524</c:v>
                      </c:pt>
                      <c:pt idx="116">
                        <c:v>97.877394636015381</c:v>
                      </c:pt>
                      <c:pt idx="117">
                        <c:v>97.975478927203113</c:v>
                      </c:pt>
                      <c:pt idx="118">
                        <c:v>98.033716475095829</c:v>
                      </c:pt>
                      <c:pt idx="119">
                        <c:v>98.033716475095829</c:v>
                      </c:pt>
                      <c:pt idx="120">
                        <c:v>98.163984674329541</c:v>
                      </c:pt>
                      <c:pt idx="121">
                        <c:v>98.036781609195444</c:v>
                      </c:pt>
                      <c:pt idx="122">
                        <c:v>98.815325670498126</c:v>
                      </c:pt>
                      <c:pt idx="123">
                        <c:v>98.888888888888928</c:v>
                      </c:pt>
                      <c:pt idx="124">
                        <c:v>99.094252873563278</c:v>
                      </c:pt>
                      <c:pt idx="125">
                        <c:v>99.327203065134142</c:v>
                      </c:pt>
                      <c:pt idx="126">
                        <c:v>99.198467432950238</c:v>
                      </c:pt>
                      <c:pt idx="127">
                        <c:v>99.158620689655237</c:v>
                      </c:pt>
                      <c:pt idx="128">
                        <c:v>98.919540229885115</c:v>
                      </c:pt>
                      <c:pt idx="129">
                        <c:v>98.934865900383201</c:v>
                      </c:pt>
                      <c:pt idx="130">
                        <c:v>99.057471264367862</c:v>
                      </c:pt>
                      <c:pt idx="131">
                        <c:v>98.95172413793108</c:v>
                      </c:pt>
                      <c:pt idx="132">
                        <c:v>99.124904214559436</c:v>
                      </c:pt>
                      <c:pt idx="133">
                        <c:v>99.189272030651395</c:v>
                      </c:pt>
                      <c:pt idx="134">
                        <c:v>99.049808429118826</c:v>
                      </c:pt>
                      <c:pt idx="135">
                        <c:v>99.236781609195447</c:v>
                      </c:pt>
                      <c:pt idx="136">
                        <c:v>99.184674329501959</c:v>
                      </c:pt>
                      <c:pt idx="137">
                        <c:v>99.460536398467468</c:v>
                      </c:pt>
                      <c:pt idx="138">
                        <c:v>99.291954022988548</c:v>
                      </c:pt>
                      <c:pt idx="139">
                        <c:v>99.235249042145654</c:v>
                      </c:pt>
                      <c:pt idx="140">
                        <c:v>99.134099616858279</c:v>
                      </c:pt>
                      <c:pt idx="141">
                        <c:v>99.138697318007715</c:v>
                      </c:pt>
                      <c:pt idx="142">
                        <c:v>98.956321839080516</c:v>
                      </c:pt>
                      <c:pt idx="143">
                        <c:v>99.287356321839127</c:v>
                      </c:pt>
                      <c:pt idx="144">
                        <c:v>99.452873563218432</c:v>
                      </c:pt>
                      <c:pt idx="145">
                        <c:v>99.379310344827616</c:v>
                      </c:pt>
                      <c:pt idx="146">
                        <c:v>99.101915708812299</c:v>
                      </c:pt>
                      <c:pt idx="147">
                        <c:v>99.155555555555594</c:v>
                      </c:pt>
                      <c:pt idx="148">
                        <c:v>99.322605363984721</c:v>
                      </c:pt>
                      <c:pt idx="149">
                        <c:v>99.348659003831457</c:v>
                      </c:pt>
                      <c:pt idx="150">
                        <c:v>99.776245210728021</c:v>
                      </c:pt>
                      <c:pt idx="151">
                        <c:v>99.471264367816147</c:v>
                      </c:pt>
                      <c:pt idx="152">
                        <c:v>98.945593869731852</c:v>
                      </c:pt>
                      <c:pt idx="153">
                        <c:v>99.017624521072847</c:v>
                      </c:pt>
                      <c:pt idx="154">
                        <c:v>99.034482758620754</c:v>
                      </c:pt>
                      <c:pt idx="155">
                        <c:v>99.15708812260543</c:v>
                      </c:pt>
                      <c:pt idx="156">
                        <c:v>99.088122605364049</c:v>
                      </c:pt>
                      <c:pt idx="157">
                        <c:v>99.016091954023054</c:v>
                      </c:pt>
                      <c:pt idx="158">
                        <c:v>99.348659003831486</c:v>
                      </c:pt>
                      <c:pt idx="159">
                        <c:v>99.397701149425345</c:v>
                      </c:pt>
                      <c:pt idx="160">
                        <c:v>99.390038314176309</c:v>
                      </c:pt>
                      <c:pt idx="161">
                        <c:v>99.284291187739527</c:v>
                      </c:pt>
                      <c:pt idx="162">
                        <c:v>99.282758620689719</c:v>
                      </c:pt>
                      <c:pt idx="163">
                        <c:v>99.26130268199239</c:v>
                      </c:pt>
                      <c:pt idx="164">
                        <c:v>99.221455938697375</c:v>
                      </c:pt>
                      <c:pt idx="165">
                        <c:v>99.393103448275937</c:v>
                      </c:pt>
                      <c:pt idx="166">
                        <c:v>99.373180076628429</c:v>
                      </c:pt>
                      <c:pt idx="167">
                        <c:v>99.527969348659099</c:v>
                      </c:pt>
                      <c:pt idx="168">
                        <c:v>99.635249042145688</c:v>
                      </c:pt>
                      <c:pt idx="169">
                        <c:v>99.318007662835356</c:v>
                      </c:pt>
                      <c:pt idx="170">
                        <c:v>99.172413793103559</c:v>
                      </c:pt>
                      <c:pt idx="171">
                        <c:v>99.242911877394761</c:v>
                      </c:pt>
                      <c:pt idx="172">
                        <c:v>99.324137931034599</c:v>
                      </c:pt>
                      <c:pt idx="173">
                        <c:v>99.173946360153366</c:v>
                      </c:pt>
                      <c:pt idx="174">
                        <c:v>99.092720306513513</c:v>
                      </c:pt>
                      <c:pt idx="175">
                        <c:v>99.009961685823868</c:v>
                      </c:pt>
                      <c:pt idx="176">
                        <c:v>98.98237547892731</c:v>
                      </c:pt>
                      <c:pt idx="177">
                        <c:v>98.93946360153268</c:v>
                      </c:pt>
                      <c:pt idx="178">
                        <c:v>98.893486590038421</c:v>
                      </c:pt>
                      <c:pt idx="179">
                        <c:v>98.914942528735736</c:v>
                      </c:pt>
                      <c:pt idx="180">
                        <c:v>99.098850574712742</c:v>
                      </c:pt>
                      <c:pt idx="181">
                        <c:v>99.022222222222311</c:v>
                      </c:pt>
                      <c:pt idx="182">
                        <c:v>98.872030651341078</c:v>
                      </c:pt>
                      <c:pt idx="183">
                        <c:v>98.75862068965526</c:v>
                      </c:pt>
                      <c:pt idx="184">
                        <c:v>98.867432950191656</c:v>
                      </c:pt>
                      <c:pt idx="185">
                        <c:v>98.669731800766371</c:v>
                      </c:pt>
                      <c:pt idx="186">
                        <c:v>98.574712643678254</c:v>
                      </c:pt>
                      <c:pt idx="187">
                        <c:v>98.951724137931123</c:v>
                      </c:pt>
                      <c:pt idx="188">
                        <c:v>99.088122605364077</c:v>
                      </c:pt>
                      <c:pt idx="189">
                        <c:v>99.088122605364077</c:v>
                      </c:pt>
                      <c:pt idx="190">
                        <c:v>99.088122605364077</c:v>
                      </c:pt>
                      <c:pt idx="191">
                        <c:v>98.977777777777874</c:v>
                      </c:pt>
                      <c:pt idx="192">
                        <c:v>98.988505747126524</c:v>
                      </c:pt>
                      <c:pt idx="193">
                        <c:v>99.095785440613113</c:v>
                      </c:pt>
                      <c:pt idx="194">
                        <c:v>98.94252873563228</c:v>
                      </c:pt>
                      <c:pt idx="195">
                        <c:v>98.996168582375574</c:v>
                      </c:pt>
                      <c:pt idx="196">
                        <c:v>99.160153256705073</c:v>
                      </c:pt>
                      <c:pt idx="197">
                        <c:v>98.77701149425296</c:v>
                      </c:pt>
                      <c:pt idx="198">
                        <c:v>98.77701149425296</c:v>
                      </c:pt>
                      <c:pt idx="199">
                        <c:v>98.77701149425296</c:v>
                      </c:pt>
                      <c:pt idx="200">
                        <c:v>98.77701149425296</c:v>
                      </c:pt>
                      <c:pt idx="201">
                        <c:v>98.77701149425296</c:v>
                      </c:pt>
                      <c:pt idx="202">
                        <c:v>98.77701149425296</c:v>
                      </c:pt>
                      <c:pt idx="203">
                        <c:v>98.750957854406224</c:v>
                      </c:pt>
                      <c:pt idx="204">
                        <c:v>98.852107279693584</c:v>
                      </c:pt>
                      <c:pt idx="205">
                        <c:v>98.827586206896655</c:v>
                      </c:pt>
                      <c:pt idx="206">
                        <c:v>98.485823754789365</c:v>
                      </c:pt>
                      <c:pt idx="207">
                        <c:v>98.666666666666757</c:v>
                      </c:pt>
                      <c:pt idx="208">
                        <c:v>98.605363984674426</c:v>
                      </c:pt>
                      <c:pt idx="209">
                        <c:v>98.528735632184009</c:v>
                      </c:pt>
                      <c:pt idx="210">
                        <c:v>97.811494252873658</c:v>
                      </c:pt>
                      <c:pt idx="211">
                        <c:v>97.98620689655182</c:v>
                      </c:pt>
                      <c:pt idx="212">
                        <c:v>97.969348659003927</c:v>
                      </c:pt>
                      <c:pt idx="213">
                        <c:v>97.837547892720394</c:v>
                      </c:pt>
                      <c:pt idx="214">
                        <c:v>97.863601532567145</c:v>
                      </c:pt>
                      <c:pt idx="215">
                        <c:v>97.808429118774029</c:v>
                      </c:pt>
                      <c:pt idx="216">
                        <c:v>97.954022988505827</c:v>
                      </c:pt>
                      <c:pt idx="217">
                        <c:v>97.957088122605455</c:v>
                      </c:pt>
                      <c:pt idx="218">
                        <c:v>98.160919540229983</c:v>
                      </c:pt>
                      <c:pt idx="219">
                        <c:v>98.041379310344922</c:v>
                      </c:pt>
                      <c:pt idx="220">
                        <c:v>98.07662835249053</c:v>
                      </c:pt>
                      <c:pt idx="221">
                        <c:v>98.177777777777891</c:v>
                      </c:pt>
                      <c:pt idx="222">
                        <c:v>98.038314176245322</c:v>
                      </c:pt>
                      <c:pt idx="223">
                        <c:v>98.053639846743394</c:v>
                      </c:pt>
                      <c:pt idx="224">
                        <c:v>97.934099616858333</c:v>
                      </c:pt>
                      <c:pt idx="225">
                        <c:v>97.955555555555662</c:v>
                      </c:pt>
                      <c:pt idx="226">
                        <c:v>97.903448275862175</c:v>
                      </c:pt>
                      <c:pt idx="227">
                        <c:v>97.927969348659119</c:v>
                      </c:pt>
                      <c:pt idx="228">
                        <c:v>97.757854406130392</c:v>
                      </c:pt>
                      <c:pt idx="229">
                        <c:v>97.814559386973301</c:v>
                      </c:pt>
                      <c:pt idx="230">
                        <c:v>97.960153256705098</c:v>
                      </c:pt>
                      <c:pt idx="231">
                        <c:v>97.739463601532691</c:v>
                      </c:pt>
                      <c:pt idx="232">
                        <c:v>97.855938697318123</c:v>
                      </c:pt>
                      <c:pt idx="233">
                        <c:v>97.874329501915824</c:v>
                      </c:pt>
                      <c:pt idx="234">
                        <c:v>97.84214559386983</c:v>
                      </c:pt>
                      <c:pt idx="235">
                        <c:v>97.946360153256791</c:v>
                      </c:pt>
                      <c:pt idx="236">
                        <c:v>97.957088122605455</c:v>
                      </c:pt>
                      <c:pt idx="237">
                        <c:v>97.869731800766374</c:v>
                      </c:pt>
                      <c:pt idx="238">
                        <c:v>97.967816091954106</c:v>
                      </c:pt>
                      <c:pt idx="239">
                        <c:v>97.892720306513496</c:v>
                      </c:pt>
                      <c:pt idx="240">
                        <c:v>97.532567049808506</c:v>
                      </c:pt>
                      <c:pt idx="241">
                        <c:v>97.5831417624522</c:v>
                      </c:pt>
                      <c:pt idx="242">
                        <c:v>97.721072796934948</c:v>
                      </c:pt>
                      <c:pt idx="243">
                        <c:v>97.713409961685912</c:v>
                      </c:pt>
                      <c:pt idx="244">
                        <c:v>97.710344827586312</c:v>
                      </c:pt>
                      <c:pt idx="245">
                        <c:v>97.558620689655285</c:v>
                      </c:pt>
                      <c:pt idx="246">
                        <c:v>97.218390804597803</c:v>
                      </c:pt>
                      <c:pt idx="247">
                        <c:v>97.734865900383255</c:v>
                      </c:pt>
                      <c:pt idx="248">
                        <c:v>97.601532567049915</c:v>
                      </c:pt>
                      <c:pt idx="249">
                        <c:v>97.517241379310462</c:v>
                      </c:pt>
                      <c:pt idx="250">
                        <c:v>97.5800766283526</c:v>
                      </c:pt>
                      <c:pt idx="251">
                        <c:v>97.583141762452229</c:v>
                      </c:pt>
                      <c:pt idx="252">
                        <c:v>97.584674329502022</c:v>
                      </c:pt>
                      <c:pt idx="253">
                        <c:v>97.69808429118784</c:v>
                      </c:pt>
                      <c:pt idx="254">
                        <c:v>97.710344827586326</c:v>
                      </c:pt>
                      <c:pt idx="255">
                        <c:v>97.649042145593981</c:v>
                      </c:pt>
                      <c:pt idx="256">
                        <c:v>97.616858237548016</c:v>
                      </c:pt>
                      <c:pt idx="257">
                        <c:v>97.618390804597823</c:v>
                      </c:pt>
                      <c:pt idx="258">
                        <c:v>97.581609195402422</c:v>
                      </c:pt>
                      <c:pt idx="259">
                        <c:v>97.632183908046102</c:v>
                      </c:pt>
                      <c:pt idx="260">
                        <c:v>97.600000000000136</c:v>
                      </c:pt>
                      <c:pt idx="261">
                        <c:v>97.593869731800908</c:v>
                      </c:pt>
                      <c:pt idx="262">
                        <c:v>97.610727969348801</c:v>
                      </c:pt>
                      <c:pt idx="263">
                        <c:v>97.350191570881364</c:v>
                      </c:pt>
                    </c:numCache>
                  </c:numRef>
                </c:val>
                <c:smooth val="0"/>
                <c:extLst xmlns:c15="http://schemas.microsoft.com/office/drawing/2012/chart">
                  <c:ext xmlns:c16="http://schemas.microsoft.com/office/drawing/2014/chart" uri="{C3380CC4-5D6E-409C-BE32-E72D297353CC}">
                    <c16:uniqueId val="{00000005-610E-4E11-9B96-CB188C2DFCB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'Currency Chart'!$T$5</c15:sqref>
                        </c15:formulaRef>
                      </c:ext>
                    </c:extLst>
                    <c:strCache>
                      <c:ptCount val="1"/>
                      <c:pt idx="0">
                        <c:v>Rand</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Chart'!$T$6:$T$291</c15:sqref>
                        </c15:formulaRef>
                      </c:ext>
                    </c:extLst>
                    <c:numCache>
                      <c:formatCode>0</c:formatCode>
                      <c:ptCount val="286"/>
                      <c:pt idx="0" formatCode="General">
                        <c:v>100</c:v>
                      </c:pt>
                      <c:pt idx="1">
                        <c:v>99.768515366494654</c:v>
                      </c:pt>
                      <c:pt idx="2">
                        <c:v>100.18450686964694</c:v>
                      </c:pt>
                      <c:pt idx="3">
                        <c:v>101.90498236631764</c:v>
                      </c:pt>
                      <c:pt idx="4">
                        <c:v>102.48301311292366</c:v>
                      </c:pt>
                      <c:pt idx="5">
                        <c:v>105.04296082462997</c:v>
                      </c:pt>
                      <c:pt idx="6">
                        <c:v>104.05778945791747</c:v>
                      </c:pt>
                      <c:pt idx="7">
                        <c:v>105.85111453042663</c:v>
                      </c:pt>
                      <c:pt idx="8">
                        <c:v>103.83447487030054</c:v>
                      </c:pt>
                      <c:pt idx="9">
                        <c:v>103.81132640695</c:v>
                      </c:pt>
                      <c:pt idx="10">
                        <c:v>102.59603208104687</c:v>
                      </c:pt>
                      <c:pt idx="11">
                        <c:v>103.61728781709991</c:v>
                      </c:pt>
                      <c:pt idx="12">
                        <c:v>103.14546766704341</c:v>
                      </c:pt>
                      <c:pt idx="13">
                        <c:v>101.95332180449081</c:v>
                      </c:pt>
                      <c:pt idx="14">
                        <c:v>101.41341793869744</c:v>
                      </c:pt>
                      <c:pt idx="15">
                        <c:v>101.68098694154334</c:v>
                      </c:pt>
                      <c:pt idx="16">
                        <c:v>102.8697286183091</c:v>
                      </c:pt>
                      <c:pt idx="17">
                        <c:v>103.71941339070523</c:v>
                      </c:pt>
                      <c:pt idx="18">
                        <c:v>102.54292678277211</c:v>
                      </c:pt>
                      <c:pt idx="19">
                        <c:v>103.88077179700161</c:v>
                      </c:pt>
                      <c:pt idx="20">
                        <c:v>103.31703863070034</c:v>
                      </c:pt>
                      <c:pt idx="21">
                        <c:v>103.19789212816082</c:v>
                      </c:pt>
                      <c:pt idx="22">
                        <c:v>102.57833031495529</c:v>
                      </c:pt>
                      <c:pt idx="23">
                        <c:v>101.83689865058078</c:v>
                      </c:pt>
                      <c:pt idx="24">
                        <c:v>101.68575280164492</c:v>
                      </c:pt>
                      <c:pt idx="25">
                        <c:v>102.10038263048246</c:v>
                      </c:pt>
                      <c:pt idx="26">
                        <c:v>101.21597516306052</c:v>
                      </c:pt>
                      <c:pt idx="27">
                        <c:v>101.28337804164002</c:v>
                      </c:pt>
                      <c:pt idx="28">
                        <c:v>100.24237802802327</c:v>
                      </c:pt>
                      <c:pt idx="29">
                        <c:v>100.39216220264439</c:v>
                      </c:pt>
                      <c:pt idx="30">
                        <c:v>99.59694440283775</c:v>
                      </c:pt>
                      <c:pt idx="31">
                        <c:v>99.056359699887011</c:v>
                      </c:pt>
                      <c:pt idx="32">
                        <c:v>98.334672313076183</c:v>
                      </c:pt>
                      <c:pt idx="33">
                        <c:v>99.739920205885184</c:v>
                      </c:pt>
                      <c:pt idx="34">
                        <c:v>99.692942442026734</c:v>
                      </c:pt>
                      <c:pt idx="35">
                        <c:v>99.3913315813124</c:v>
                      </c:pt>
                      <c:pt idx="36">
                        <c:v>99.707920859488851</c:v>
                      </c:pt>
                      <c:pt idx="37">
                        <c:v>99.707920859488851</c:v>
                      </c:pt>
                      <c:pt idx="38">
                        <c:v>99.850896662536286</c:v>
                      </c:pt>
                      <c:pt idx="39">
                        <c:v>98.954914963439066</c:v>
                      </c:pt>
                      <c:pt idx="40">
                        <c:v>98.644453219678937</c:v>
                      </c:pt>
                      <c:pt idx="41">
                        <c:v>102.55109682866053</c:v>
                      </c:pt>
                      <c:pt idx="42">
                        <c:v>102.75602881302849</c:v>
                      </c:pt>
                      <c:pt idx="43">
                        <c:v>102.19365732104195</c:v>
                      </c:pt>
                      <c:pt idx="44">
                        <c:v>101.66668936123858</c:v>
                      </c:pt>
                      <c:pt idx="45">
                        <c:v>102.66003077383951</c:v>
                      </c:pt>
                      <c:pt idx="46">
                        <c:v>104.11225643050693</c:v>
                      </c:pt>
                      <c:pt idx="47">
                        <c:v>104.49420607579077</c:v>
                      </c:pt>
                      <c:pt idx="48">
                        <c:v>105.74490393387708</c:v>
                      </c:pt>
                      <c:pt idx="49">
                        <c:v>104.13404321954275</c:v>
                      </c:pt>
                      <c:pt idx="50">
                        <c:v>102.56743692043737</c:v>
                      </c:pt>
                      <c:pt idx="51">
                        <c:v>100.91981099960512</c:v>
                      </c:pt>
                      <c:pt idx="52">
                        <c:v>101.66464684976647</c:v>
                      </c:pt>
                      <c:pt idx="53">
                        <c:v>101.14380642437942</c:v>
                      </c:pt>
                      <c:pt idx="54">
                        <c:v>101.14721061016625</c:v>
                      </c:pt>
                      <c:pt idx="55">
                        <c:v>99.71745257969198</c:v>
                      </c:pt>
                      <c:pt idx="56">
                        <c:v>100.54126554010811</c:v>
                      </c:pt>
                      <c:pt idx="57">
                        <c:v>100.08442380751372</c:v>
                      </c:pt>
                      <c:pt idx="58">
                        <c:v>100.14297580304741</c:v>
                      </c:pt>
                      <c:pt idx="59">
                        <c:v>101.46039570255584</c:v>
                      </c:pt>
                      <c:pt idx="60">
                        <c:v>101.92064162093709</c:v>
                      </c:pt>
                      <c:pt idx="61">
                        <c:v>102.25901768814934</c:v>
                      </c:pt>
                      <c:pt idx="62">
                        <c:v>102.10514849058401</c:v>
                      </c:pt>
                      <c:pt idx="63">
                        <c:v>101.47333160854585</c:v>
                      </c:pt>
                      <c:pt idx="64">
                        <c:v>101.53256444123693</c:v>
                      </c:pt>
                      <c:pt idx="65">
                        <c:v>100.53581884284915</c:v>
                      </c:pt>
                      <c:pt idx="66">
                        <c:v>99.500946363648723</c:v>
                      </c:pt>
                      <c:pt idx="67">
                        <c:v>99.886981031876786</c:v>
                      </c:pt>
                      <c:pt idx="68">
                        <c:v>99.03253039937907</c:v>
                      </c:pt>
                      <c:pt idx="69">
                        <c:v>98.835768460899516</c:v>
                      </c:pt>
                      <c:pt idx="70">
                        <c:v>99.093124906384901</c:v>
                      </c:pt>
                      <c:pt idx="71">
                        <c:v>98.749302141913702</c:v>
                      </c:pt>
                      <c:pt idx="72">
                        <c:v>99.359332234916067</c:v>
                      </c:pt>
                      <c:pt idx="73">
                        <c:v>99.164612807908611</c:v>
                      </c:pt>
                      <c:pt idx="74">
                        <c:v>98.880022876128507</c:v>
                      </c:pt>
                      <c:pt idx="75">
                        <c:v>97.953403504949705</c:v>
                      </c:pt>
                      <c:pt idx="76">
                        <c:v>96.376584648483799</c:v>
                      </c:pt>
                      <c:pt idx="77">
                        <c:v>97.365841038140516</c:v>
                      </c:pt>
                      <c:pt idx="78">
                        <c:v>96.776916897016577</c:v>
                      </c:pt>
                      <c:pt idx="79">
                        <c:v>97.339969226160491</c:v>
                      </c:pt>
                      <c:pt idx="80">
                        <c:v>96.956657906561901</c:v>
                      </c:pt>
                      <c:pt idx="81">
                        <c:v>97.342692574789936</c:v>
                      </c:pt>
                      <c:pt idx="82">
                        <c:v>97.145249799153021</c:v>
                      </c:pt>
                      <c:pt idx="83">
                        <c:v>97.145249799153021</c:v>
                      </c:pt>
                      <c:pt idx="84">
                        <c:v>97.17044077397567</c:v>
                      </c:pt>
                      <c:pt idx="85">
                        <c:v>97.78796007570908</c:v>
                      </c:pt>
                      <c:pt idx="86">
                        <c:v>96.866106564631849</c:v>
                      </c:pt>
                      <c:pt idx="87">
                        <c:v>97.365160200983127</c:v>
                      </c:pt>
                      <c:pt idx="88">
                        <c:v>98.679175914704715</c:v>
                      </c:pt>
                      <c:pt idx="89">
                        <c:v>97.981317828401785</c:v>
                      </c:pt>
                      <c:pt idx="90">
                        <c:v>98.408883563229338</c:v>
                      </c:pt>
                      <c:pt idx="91">
                        <c:v>97.77979002982066</c:v>
                      </c:pt>
                      <c:pt idx="92">
                        <c:v>96.951892046460316</c:v>
                      </c:pt>
                      <c:pt idx="93">
                        <c:v>95.685534933754525</c:v>
                      </c:pt>
                      <c:pt idx="94">
                        <c:v>95.582728522991857</c:v>
                      </c:pt>
                      <c:pt idx="95">
                        <c:v>95.27839431364805</c:v>
                      </c:pt>
                      <c:pt idx="96">
                        <c:v>96.091994716703624</c:v>
                      </c:pt>
                      <c:pt idx="97">
                        <c:v>96.049101975789398</c:v>
                      </c:pt>
                      <c:pt idx="98">
                        <c:v>96.071569601982574</c:v>
                      </c:pt>
                      <c:pt idx="99">
                        <c:v>96.0518253244189</c:v>
                      </c:pt>
                      <c:pt idx="100">
                        <c:v>95.23209738694699</c:v>
                      </c:pt>
                      <c:pt idx="101">
                        <c:v>96.001443374773615</c:v>
                      </c:pt>
                      <c:pt idx="102">
                        <c:v>95.107504187148507</c:v>
                      </c:pt>
                      <c:pt idx="103">
                        <c:v>95.017633682375831</c:v>
                      </c:pt>
                      <c:pt idx="104">
                        <c:v>94.750064679529928</c:v>
                      </c:pt>
                      <c:pt idx="105">
                        <c:v>94.323860619017125</c:v>
                      </c:pt>
                      <c:pt idx="106">
                        <c:v>93.721319734745819</c:v>
                      </c:pt>
                      <c:pt idx="107">
                        <c:v>93.628725881343684</c:v>
                      </c:pt>
                      <c:pt idx="108">
                        <c:v>93.668895273628422</c:v>
                      </c:pt>
                      <c:pt idx="109">
                        <c:v>93.399283759310421</c:v>
                      </c:pt>
                      <c:pt idx="110">
                        <c:v>93.587194814744194</c:v>
                      </c:pt>
                      <c:pt idx="111">
                        <c:v>91.992674192186698</c:v>
                      </c:pt>
                      <c:pt idx="112">
                        <c:v>92.798785386511256</c:v>
                      </c:pt>
                      <c:pt idx="113">
                        <c:v>91.467748743855438</c:v>
                      </c:pt>
                      <c:pt idx="114">
                        <c:v>91.844932529037692</c:v>
                      </c:pt>
                      <c:pt idx="115">
                        <c:v>92.35964542000842</c:v>
                      </c:pt>
                      <c:pt idx="116">
                        <c:v>93.619194161140527</c:v>
                      </c:pt>
                      <c:pt idx="117">
                        <c:v>92.557769032802724</c:v>
                      </c:pt>
                      <c:pt idx="118">
                        <c:v>93.109927967428746</c:v>
                      </c:pt>
                      <c:pt idx="119">
                        <c:v>93.717234711801623</c:v>
                      </c:pt>
                      <c:pt idx="120">
                        <c:v>93.687958714034764</c:v>
                      </c:pt>
                      <c:pt idx="121">
                        <c:v>95.379839050095995</c:v>
                      </c:pt>
                      <c:pt idx="122">
                        <c:v>95.807404784923534</c:v>
                      </c:pt>
                      <c:pt idx="123">
                        <c:v>97.908468252563353</c:v>
                      </c:pt>
                      <c:pt idx="124">
                        <c:v>96.880404144936605</c:v>
                      </c:pt>
                      <c:pt idx="125">
                        <c:v>97.104399569710907</c:v>
                      </c:pt>
                      <c:pt idx="126">
                        <c:v>96.729939133158126</c:v>
                      </c:pt>
                      <c:pt idx="127">
                        <c:v>96.6196435136644</c:v>
                      </c:pt>
                      <c:pt idx="128">
                        <c:v>96.278544097822675</c:v>
                      </c:pt>
                      <c:pt idx="129">
                        <c:v>96.917169351434524</c:v>
                      </c:pt>
                      <c:pt idx="130">
                        <c:v>97.676983619058007</c:v>
                      </c:pt>
                      <c:pt idx="131">
                        <c:v>97.139122264736727</c:v>
                      </c:pt>
                      <c:pt idx="132">
                        <c:v>98.15901632647504</c:v>
                      </c:pt>
                      <c:pt idx="133">
                        <c:v>97.021337436511928</c:v>
                      </c:pt>
                      <c:pt idx="134">
                        <c:v>97.0744427347867</c:v>
                      </c:pt>
                      <c:pt idx="135">
                        <c:v>97.89825569520282</c:v>
                      </c:pt>
                      <c:pt idx="136">
                        <c:v>97.391032012963151</c:v>
                      </c:pt>
                      <c:pt idx="137">
                        <c:v>97.575538882610061</c:v>
                      </c:pt>
                      <c:pt idx="138">
                        <c:v>96.505943708383839</c:v>
                      </c:pt>
                      <c:pt idx="139">
                        <c:v>98.080039216220271</c:v>
                      </c:pt>
                      <c:pt idx="140">
                        <c:v>100.27301570010486</c:v>
                      </c:pt>
                      <c:pt idx="141">
                        <c:v>98.769727256634766</c:v>
                      </c:pt>
                      <c:pt idx="142">
                        <c:v>99.109464998161755</c:v>
                      </c:pt>
                      <c:pt idx="143">
                        <c:v>97.943871784746534</c:v>
                      </c:pt>
                      <c:pt idx="144">
                        <c:v>99.162570296436513</c:v>
                      </c:pt>
                      <c:pt idx="145">
                        <c:v>99.404948324459767</c:v>
                      </c:pt>
                      <c:pt idx="146">
                        <c:v>99.373629815220809</c:v>
                      </c:pt>
                      <c:pt idx="147">
                        <c:v>99.96731981644632</c:v>
                      </c:pt>
                      <c:pt idx="148">
                        <c:v>101.0532550824494</c:v>
                      </c:pt>
                      <c:pt idx="149">
                        <c:v>100.81087705442614</c:v>
                      </c:pt>
                      <c:pt idx="150">
                        <c:v>100.62160432467763</c:v>
                      </c:pt>
                      <c:pt idx="151">
                        <c:v>100.59028581543868</c:v>
                      </c:pt>
                      <c:pt idx="152">
                        <c:v>99.057721374201734</c:v>
                      </c:pt>
                      <c:pt idx="153">
                        <c:v>99.144868530344922</c:v>
                      </c:pt>
                      <c:pt idx="154">
                        <c:v>98.412287749016187</c:v>
                      </c:pt>
                      <c:pt idx="155">
                        <c:v>97.419627173572621</c:v>
                      </c:pt>
                      <c:pt idx="156">
                        <c:v>97.803619330328559</c:v>
                      </c:pt>
                      <c:pt idx="157">
                        <c:v>98.741132096025268</c:v>
                      </c:pt>
                      <c:pt idx="158">
                        <c:v>99.352523863342356</c:v>
                      </c:pt>
                      <c:pt idx="159">
                        <c:v>100.61615762741864</c:v>
                      </c:pt>
                      <c:pt idx="160">
                        <c:v>100.70670896934868</c:v>
                      </c:pt>
                      <c:pt idx="161">
                        <c:v>99.750132763245645</c:v>
                      </c:pt>
                      <c:pt idx="162">
                        <c:v>100.61411511594653</c:v>
                      </c:pt>
                      <c:pt idx="163">
                        <c:v>100.22399542477427</c:v>
                      </c:pt>
                      <c:pt idx="164">
                        <c:v>100.98040550661088</c:v>
                      </c:pt>
                      <c:pt idx="165">
                        <c:v>101.39912035839262</c:v>
                      </c:pt>
                      <c:pt idx="166">
                        <c:v>101.70685875352328</c:v>
                      </c:pt>
                      <c:pt idx="167">
                        <c:v>103.49609880308822</c:v>
                      </c:pt>
                      <c:pt idx="168">
                        <c:v>104.1292773594411</c:v>
                      </c:pt>
                      <c:pt idx="169">
                        <c:v>102.9201105679543</c:v>
                      </c:pt>
                      <c:pt idx="170">
                        <c:v>102.13646699982293</c:v>
                      </c:pt>
                      <c:pt idx="171">
                        <c:v>101.78107000367648</c:v>
                      </c:pt>
                      <c:pt idx="172">
                        <c:v>101.59043559961324</c:v>
                      </c:pt>
                      <c:pt idx="173">
                        <c:v>100.19403858985004</c:v>
                      </c:pt>
                      <c:pt idx="174">
                        <c:v>99.82570568771358</c:v>
                      </c:pt>
                      <c:pt idx="175">
                        <c:v>98.797641580086832</c:v>
                      </c:pt>
                      <c:pt idx="176">
                        <c:v>98.097060145154444</c:v>
                      </c:pt>
                      <c:pt idx="177">
                        <c:v>98.39186263429508</c:v>
                      </c:pt>
                      <c:pt idx="178">
                        <c:v>97.426435545146262</c:v>
                      </c:pt>
                      <c:pt idx="179">
                        <c:v>96.845681449910771</c:v>
                      </c:pt>
                      <c:pt idx="180">
                        <c:v>97.374691921186241</c:v>
                      </c:pt>
                      <c:pt idx="181">
                        <c:v>96.54679393782591</c:v>
                      </c:pt>
                      <c:pt idx="182">
                        <c:v>96.677514672040715</c:v>
                      </c:pt>
                      <c:pt idx="183">
                        <c:v>96.667302114680183</c:v>
                      </c:pt>
                      <c:pt idx="184">
                        <c:v>96.335734419041628</c:v>
                      </c:pt>
                      <c:pt idx="185">
                        <c:v>97.490434237938956</c:v>
                      </c:pt>
                      <c:pt idx="186">
                        <c:v>98.086166750636579</c:v>
                      </c:pt>
                      <c:pt idx="187">
                        <c:v>99.344353817453936</c:v>
                      </c:pt>
                      <c:pt idx="188">
                        <c:v>99.963915630659443</c:v>
                      </c:pt>
                      <c:pt idx="189">
                        <c:v>100.66177371696236</c:v>
                      </c:pt>
                      <c:pt idx="190">
                        <c:v>100.93138523128036</c:v>
                      </c:pt>
                      <c:pt idx="191">
                        <c:v>100.69717724914553</c:v>
                      </c:pt>
                      <c:pt idx="192">
                        <c:v>100.347226950258</c:v>
                      </c:pt>
                      <c:pt idx="193">
                        <c:v>101.72864554255911</c:v>
                      </c:pt>
                      <c:pt idx="194">
                        <c:v>101.82804776753493</c:v>
                      </c:pt>
                      <c:pt idx="195">
                        <c:v>102.75534797587108</c:v>
                      </c:pt>
                      <c:pt idx="196">
                        <c:v>103.32112365364448</c:v>
                      </c:pt>
                      <c:pt idx="197">
                        <c:v>102.72743365241898</c:v>
                      </c:pt>
                      <c:pt idx="198">
                        <c:v>101.22823023189309</c:v>
                      </c:pt>
                      <c:pt idx="199">
                        <c:v>102.28761284875878</c:v>
                      </c:pt>
                      <c:pt idx="200">
                        <c:v>102.04659649505027</c:v>
                      </c:pt>
                      <c:pt idx="201">
                        <c:v>101.87911055433757</c:v>
                      </c:pt>
                      <c:pt idx="202">
                        <c:v>101.64898759514695</c:v>
                      </c:pt>
                      <c:pt idx="203">
                        <c:v>101.8069418156565</c:v>
                      </c:pt>
                      <c:pt idx="204">
                        <c:v>102.49526818175624</c:v>
                      </c:pt>
                      <c:pt idx="205">
                        <c:v>101.95876850174972</c:v>
                      </c:pt>
                      <c:pt idx="206">
                        <c:v>100.79045193970504</c:v>
                      </c:pt>
                      <c:pt idx="207">
                        <c:v>100.65905036833287</c:v>
                      </c:pt>
                      <c:pt idx="208">
                        <c:v>99.363417257860235</c:v>
                      </c:pt>
                      <c:pt idx="209">
                        <c:v>99.957788096243107</c:v>
                      </c:pt>
                      <c:pt idx="210">
                        <c:v>98.873895341712128</c:v>
                      </c:pt>
                      <c:pt idx="211">
                        <c:v>97.989487874290191</c:v>
                      </c:pt>
                      <c:pt idx="212">
                        <c:v>99.861790057054122</c:v>
                      </c:pt>
                      <c:pt idx="213">
                        <c:v>100.88304579310717</c:v>
                      </c:pt>
                      <c:pt idx="214">
                        <c:v>100.11438064243789</c:v>
                      </c:pt>
                      <c:pt idx="215">
                        <c:v>100.77138849929869</c:v>
                      </c:pt>
                      <c:pt idx="216">
                        <c:v>102.6532224022658</c:v>
                      </c:pt>
                      <c:pt idx="217">
                        <c:v>103.02087446724491</c:v>
                      </c:pt>
                      <c:pt idx="218">
                        <c:v>103.51311973202246</c:v>
                      </c:pt>
                      <c:pt idx="219">
                        <c:v>104.96602622584726</c:v>
                      </c:pt>
                      <c:pt idx="220">
                        <c:v>105.06542845082311</c:v>
                      </c:pt>
                      <c:pt idx="221">
                        <c:v>103.88826100573262</c:v>
                      </c:pt>
                      <c:pt idx="222">
                        <c:v>103.5383107068451</c:v>
                      </c:pt>
                      <c:pt idx="223">
                        <c:v>102.46871553261887</c:v>
                      </c:pt>
                      <c:pt idx="224">
                        <c:v>101.50124593199796</c:v>
                      </c:pt>
                      <c:pt idx="225">
                        <c:v>102.18821062378298</c:v>
                      </c:pt>
                      <c:pt idx="226">
                        <c:v>104.9462819482836</c:v>
                      </c:pt>
                      <c:pt idx="227">
                        <c:v>104.15378749710642</c:v>
                      </c:pt>
                      <c:pt idx="228">
                        <c:v>104.39208050218548</c:v>
                      </c:pt>
                      <c:pt idx="229">
                        <c:v>103.68400985852203</c:v>
                      </c:pt>
                      <c:pt idx="230">
                        <c:v>105.5644820871744</c:v>
                      </c:pt>
                      <c:pt idx="231">
                        <c:v>105.48414330260488</c:v>
                      </c:pt>
                      <c:pt idx="232">
                        <c:v>106.02540884271299</c:v>
                      </c:pt>
                      <c:pt idx="233">
                        <c:v>107.01194188374023</c:v>
                      </c:pt>
                      <c:pt idx="234">
                        <c:v>107.91473195441114</c:v>
                      </c:pt>
                      <c:pt idx="235">
                        <c:v>107.76562861694738</c:v>
                      </c:pt>
                      <c:pt idx="236">
                        <c:v>108.20681109492232</c:v>
                      </c:pt>
                      <c:pt idx="237">
                        <c:v>108.64799357289724</c:v>
                      </c:pt>
                      <c:pt idx="238">
                        <c:v>110.99483925434716</c:v>
                      </c:pt>
                      <c:pt idx="239">
                        <c:v>109.90141477961301</c:v>
                      </c:pt>
                      <c:pt idx="240">
                        <c:v>108.07268617492069</c:v>
                      </c:pt>
                      <c:pt idx="241">
                        <c:v>109.13547297757322</c:v>
                      </c:pt>
                      <c:pt idx="242">
                        <c:v>108.44850828578821</c:v>
                      </c:pt>
                      <c:pt idx="243">
                        <c:v>109.45682811585124</c:v>
                      </c:pt>
                      <c:pt idx="244">
                        <c:v>108.13123817045438</c:v>
                      </c:pt>
                      <c:pt idx="245">
                        <c:v>107.84188237857269</c:v>
                      </c:pt>
                      <c:pt idx="246">
                        <c:v>106.85603017470282</c:v>
                      </c:pt>
                      <c:pt idx="247">
                        <c:v>108.38927545309713</c:v>
                      </c:pt>
                      <c:pt idx="248">
                        <c:v>108.75760835523359</c:v>
                      </c:pt>
                      <c:pt idx="249">
                        <c:v>109.08032516782635</c:v>
                      </c:pt>
                      <c:pt idx="250">
                        <c:v>109.54125192336497</c:v>
                      </c:pt>
                      <c:pt idx="251">
                        <c:v>108.73241738041094</c:v>
                      </c:pt>
                      <c:pt idx="252">
                        <c:v>108.48663516660083</c:v>
                      </c:pt>
                      <c:pt idx="253">
                        <c:v>108.07609036070751</c:v>
                      </c:pt>
                      <c:pt idx="254">
                        <c:v>107.27678753795666</c:v>
                      </c:pt>
                      <c:pt idx="255">
                        <c:v>107.86707335339533</c:v>
                      </c:pt>
                      <c:pt idx="256">
                        <c:v>106.80292487642805</c:v>
                      </c:pt>
                      <c:pt idx="257">
                        <c:v>106.58709949754218</c:v>
                      </c:pt>
                      <c:pt idx="258">
                        <c:v>105.89400727134084</c:v>
                      </c:pt>
                      <c:pt idx="259">
                        <c:v>105.7598823513392</c:v>
                      </c:pt>
                      <c:pt idx="260">
                        <c:v>107.26861749206823</c:v>
                      </c:pt>
                      <c:pt idx="261">
                        <c:v>108.45667833167663</c:v>
                      </c:pt>
                      <c:pt idx="262">
                        <c:v>108.40289219624449</c:v>
                      </c:pt>
                      <c:pt idx="263">
                        <c:v>108.88015904355994</c:v>
                      </c:pt>
                    </c:numCache>
                  </c:numRef>
                </c:val>
                <c:smooth val="0"/>
                <c:extLst xmlns:c15="http://schemas.microsoft.com/office/drawing/2012/chart">
                  <c:ext xmlns:c16="http://schemas.microsoft.com/office/drawing/2014/chart" uri="{C3380CC4-5D6E-409C-BE32-E72D297353CC}">
                    <c16:uniqueId val="{00000006-610E-4E11-9B96-CB188C2DFCB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'Currency Chart'!$U$5</c15:sqref>
                        </c15:formulaRef>
                      </c:ext>
                    </c:extLst>
                    <c:strCache>
                      <c:ptCount val="1"/>
                      <c:pt idx="0">
                        <c:v>Won</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Chart'!$U$6:$U$291</c15:sqref>
                        </c15:formulaRef>
                      </c:ext>
                    </c:extLst>
                    <c:numCache>
                      <c:formatCode>0</c:formatCode>
                      <c:ptCount val="286"/>
                      <c:pt idx="0" formatCode="General">
                        <c:v>100</c:v>
                      </c:pt>
                      <c:pt idx="1">
                        <c:v>100.02397484485508</c:v>
                      </c:pt>
                      <c:pt idx="2">
                        <c:v>100.18534399291818</c:v>
                      </c:pt>
                      <c:pt idx="3">
                        <c:v>100.17981133641317</c:v>
                      </c:pt>
                      <c:pt idx="4">
                        <c:v>100.3190498584562</c:v>
                      </c:pt>
                      <c:pt idx="5">
                        <c:v>100.90458933857089</c:v>
                      </c:pt>
                      <c:pt idx="6">
                        <c:v>100.78010456720793</c:v>
                      </c:pt>
                      <c:pt idx="7">
                        <c:v>101.17661161673442</c:v>
                      </c:pt>
                      <c:pt idx="8">
                        <c:v>100.92303152692095</c:v>
                      </c:pt>
                      <c:pt idx="9">
                        <c:v>101.16646841314186</c:v>
                      </c:pt>
                      <c:pt idx="10">
                        <c:v>101.05212684537145</c:v>
                      </c:pt>
                      <c:pt idx="11">
                        <c:v>101.73356570490651</c:v>
                      </c:pt>
                      <c:pt idx="12">
                        <c:v>101.66440749859375</c:v>
                      </c:pt>
                      <c:pt idx="13">
                        <c:v>101.56481968150337</c:v>
                      </c:pt>
                      <c:pt idx="14">
                        <c:v>101.09546598799409</c:v>
                      </c:pt>
                      <c:pt idx="15">
                        <c:v>101.42097061237284</c:v>
                      </c:pt>
                      <c:pt idx="16">
                        <c:v>101.93089712025225</c:v>
                      </c:pt>
                      <c:pt idx="17">
                        <c:v>101.66994015509876</c:v>
                      </c:pt>
                      <c:pt idx="18">
                        <c:v>101.52609108596822</c:v>
                      </c:pt>
                      <c:pt idx="19">
                        <c:v>102.20476361725079</c:v>
                      </c:pt>
                      <c:pt idx="20">
                        <c:v>102.58651691609722</c:v>
                      </c:pt>
                      <c:pt idx="21">
                        <c:v>103.05863693785902</c:v>
                      </c:pt>
                      <c:pt idx="22">
                        <c:v>102.95443857368112</c:v>
                      </c:pt>
                      <c:pt idx="23">
                        <c:v>102.84931810008571</c:v>
                      </c:pt>
                      <c:pt idx="24">
                        <c:v>102.67319520134257</c:v>
                      </c:pt>
                      <c:pt idx="25">
                        <c:v>103.27625476038985</c:v>
                      </c:pt>
                      <c:pt idx="26">
                        <c:v>102.97841341853622</c:v>
                      </c:pt>
                      <c:pt idx="27">
                        <c:v>102.87144872610581</c:v>
                      </c:pt>
                      <c:pt idx="28">
                        <c:v>102.43529097162669</c:v>
                      </c:pt>
                      <c:pt idx="29">
                        <c:v>101.9373518861748</c:v>
                      </c:pt>
                      <c:pt idx="30">
                        <c:v>101.62752312189362</c:v>
                      </c:pt>
                      <c:pt idx="31">
                        <c:v>101.67086226451629</c:v>
                      </c:pt>
                      <c:pt idx="32">
                        <c:v>101.55283225907584</c:v>
                      </c:pt>
                      <c:pt idx="33">
                        <c:v>102.03878392210017</c:v>
                      </c:pt>
                      <c:pt idx="34">
                        <c:v>101.94933930860232</c:v>
                      </c:pt>
                      <c:pt idx="35">
                        <c:v>102.07382407996529</c:v>
                      </c:pt>
                      <c:pt idx="36">
                        <c:v>101.82577664665685</c:v>
                      </c:pt>
                      <c:pt idx="37">
                        <c:v>101.82577664665685</c:v>
                      </c:pt>
                      <c:pt idx="38">
                        <c:v>102.5007607402694</c:v>
                      </c:pt>
                      <c:pt idx="39">
                        <c:v>102.36613276531391</c:v>
                      </c:pt>
                      <c:pt idx="40">
                        <c:v>102.1024094719079</c:v>
                      </c:pt>
                      <c:pt idx="41">
                        <c:v>103.16283530203691</c:v>
                      </c:pt>
                      <c:pt idx="42">
                        <c:v>103.63495532379871</c:v>
                      </c:pt>
                      <c:pt idx="43">
                        <c:v>102.66120777891501</c:v>
                      </c:pt>
                      <c:pt idx="44">
                        <c:v>103.73823157855909</c:v>
                      </c:pt>
                      <c:pt idx="45">
                        <c:v>103.83413095797947</c:v>
                      </c:pt>
                      <c:pt idx="46">
                        <c:v>104.27858769721614</c:v>
                      </c:pt>
                      <c:pt idx="47">
                        <c:v>104.01394229439265</c:v>
                      </c:pt>
                      <c:pt idx="48">
                        <c:v>105.19700867704961</c:v>
                      </c:pt>
                      <c:pt idx="49">
                        <c:v>104.65111990188757</c:v>
                      </c:pt>
                      <c:pt idx="50">
                        <c:v>104.74333084363791</c:v>
                      </c:pt>
                      <c:pt idx="51">
                        <c:v>104.23063800750595</c:v>
                      </c:pt>
                      <c:pt idx="52">
                        <c:v>104.75162982839542</c:v>
                      </c:pt>
                      <c:pt idx="53">
                        <c:v>104.41505989100665</c:v>
                      </c:pt>
                      <c:pt idx="54">
                        <c:v>104.10615323614299</c:v>
                      </c:pt>
                      <c:pt idx="55">
                        <c:v>103.38782999990778</c:v>
                      </c:pt>
                      <c:pt idx="56">
                        <c:v>103.99088955895506</c:v>
                      </c:pt>
                      <c:pt idx="57">
                        <c:v>104.11721854915302</c:v>
                      </c:pt>
                      <c:pt idx="58">
                        <c:v>103.82952041089194</c:v>
                      </c:pt>
                      <c:pt idx="59">
                        <c:v>104.46577590896936</c:v>
                      </c:pt>
                      <c:pt idx="60">
                        <c:v>104.65019779247005</c:v>
                      </c:pt>
                      <c:pt idx="61">
                        <c:v>104.67048419965511</c:v>
                      </c:pt>
                      <c:pt idx="62">
                        <c:v>104.06189198410281</c:v>
                      </c:pt>
                      <c:pt idx="63">
                        <c:v>104.34221324702388</c:v>
                      </c:pt>
                      <c:pt idx="64">
                        <c:v>104.43719051702674</c:v>
                      </c:pt>
                      <c:pt idx="65">
                        <c:v>103.93740721273986</c:v>
                      </c:pt>
                      <c:pt idx="66">
                        <c:v>104.08033417245288</c:v>
                      </c:pt>
                      <c:pt idx="67">
                        <c:v>104.07295729711286</c:v>
                      </c:pt>
                      <c:pt idx="68">
                        <c:v>103.6616964969063</c:v>
                      </c:pt>
                      <c:pt idx="69">
                        <c:v>103.19971967873707</c:v>
                      </c:pt>
                      <c:pt idx="70">
                        <c:v>103.18681014689201</c:v>
                      </c:pt>
                      <c:pt idx="71">
                        <c:v>102.89173513329089</c:v>
                      </c:pt>
                      <c:pt idx="72">
                        <c:v>103.3666214833052</c:v>
                      </c:pt>
                      <c:pt idx="73">
                        <c:v>103.67460602875134</c:v>
                      </c:pt>
                      <c:pt idx="74">
                        <c:v>103.40258375058781</c:v>
                      </c:pt>
                      <c:pt idx="75">
                        <c:v>102.91478786872847</c:v>
                      </c:pt>
                      <c:pt idx="76">
                        <c:v>102.97011443377869</c:v>
                      </c:pt>
                      <c:pt idx="77">
                        <c:v>102.95351646426361</c:v>
                      </c:pt>
                      <c:pt idx="78">
                        <c:v>102.8456296624157</c:v>
                      </c:pt>
                      <c:pt idx="79">
                        <c:v>103.02544099882888</c:v>
                      </c:pt>
                      <c:pt idx="80">
                        <c:v>102.93968482300106</c:v>
                      </c:pt>
                      <c:pt idx="81">
                        <c:v>103.1646795208719</c:v>
                      </c:pt>
                      <c:pt idx="82">
                        <c:v>102.78938098794799</c:v>
                      </c:pt>
                      <c:pt idx="83">
                        <c:v>102.78938098794799</c:v>
                      </c:pt>
                      <c:pt idx="84">
                        <c:v>102.37904229715893</c:v>
                      </c:pt>
                      <c:pt idx="85">
                        <c:v>102.661207778915</c:v>
                      </c:pt>
                      <c:pt idx="86">
                        <c:v>102.34308002987632</c:v>
                      </c:pt>
                      <c:pt idx="87">
                        <c:v>102.13560541093804</c:v>
                      </c:pt>
                      <c:pt idx="88">
                        <c:v>103.01437568581886</c:v>
                      </c:pt>
                      <c:pt idx="89">
                        <c:v>103.30760648058495</c:v>
                      </c:pt>
                      <c:pt idx="90">
                        <c:v>103.80831189428935</c:v>
                      </c:pt>
                      <c:pt idx="91">
                        <c:v>103.71149040545149</c:v>
                      </c:pt>
                      <c:pt idx="92">
                        <c:v>103.30207382407994</c:v>
                      </c:pt>
                      <c:pt idx="93">
                        <c:v>102.46756480123929</c:v>
                      </c:pt>
                      <c:pt idx="94">
                        <c:v>102.97011443377869</c:v>
                      </c:pt>
                      <c:pt idx="95">
                        <c:v>103.23752616485469</c:v>
                      </c:pt>
                      <c:pt idx="96">
                        <c:v>104.45010004887178</c:v>
                      </c:pt>
                      <c:pt idx="97">
                        <c:v>103.89683439836969</c:v>
                      </c:pt>
                      <c:pt idx="98">
                        <c:v>103.81015611312436</c:v>
                      </c:pt>
                      <c:pt idx="99">
                        <c:v>104.81894381587318</c:v>
                      </c:pt>
                      <c:pt idx="100">
                        <c:v>103.91527658671978</c:v>
                      </c:pt>
                      <c:pt idx="101">
                        <c:v>104.30717308915875</c:v>
                      </c:pt>
                      <c:pt idx="102">
                        <c:v>103.98259057419753</c:v>
                      </c:pt>
                      <c:pt idx="103">
                        <c:v>103.97982424594503</c:v>
                      </c:pt>
                      <c:pt idx="104">
                        <c:v>103.59714883768108</c:v>
                      </c:pt>
                      <c:pt idx="105">
                        <c:v>103.49387258292067</c:v>
                      </c:pt>
                      <c:pt idx="106">
                        <c:v>102.96365966785618</c:v>
                      </c:pt>
                      <c:pt idx="107">
                        <c:v>103.14254889485186</c:v>
                      </c:pt>
                      <c:pt idx="108">
                        <c:v>102.63815504347744</c:v>
                      </c:pt>
                      <c:pt idx="109">
                        <c:v>102.03878392210018</c:v>
                      </c:pt>
                      <c:pt idx="110">
                        <c:v>102.20476361725082</c:v>
                      </c:pt>
                      <c:pt idx="111">
                        <c:v>102.43897940929671</c:v>
                      </c:pt>
                      <c:pt idx="112">
                        <c:v>102.94982802659362</c:v>
                      </c:pt>
                      <c:pt idx="113">
                        <c:v>102.40209503259655</c:v>
                      </c:pt>
                      <c:pt idx="114">
                        <c:v>102.41131612677158</c:v>
                      </c:pt>
                      <c:pt idx="115">
                        <c:v>103.06601381319906</c:v>
                      </c:pt>
                      <c:pt idx="116">
                        <c:v>102.87144872610581</c:v>
                      </c:pt>
                      <c:pt idx="117">
                        <c:v>102.56807472774716</c:v>
                      </c:pt>
                      <c:pt idx="118">
                        <c:v>102.94429537008858</c:v>
                      </c:pt>
                      <c:pt idx="119">
                        <c:v>102.93784060416604</c:v>
                      </c:pt>
                      <c:pt idx="120">
                        <c:v>103.00792091989631</c:v>
                      </c:pt>
                      <c:pt idx="121">
                        <c:v>104.44548950178424</c:v>
                      </c:pt>
                      <c:pt idx="122">
                        <c:v>104.59487122741979</c:v>
                      </c:pt>
                      <c:pt idx="123">
                        <c:v>104.65388623014003</c:v>
                      </c:pt>
                      <c:pt idx="124">
                        <c:v>104.32745949634381</c:v>
                      </c:pt>
                      <c:pt idx="125">
                        <c:v>104.52755723994206</c:v>
                      </c:pt>
                      <c:pt idx="126">
                        <c:v>104.73779818713285</c:v>
                      </c:pt>
                      <c:pt idx="127">
                        <c:v>104.27028871245859</c:v>
                      </c:pt>
                      <c:pt idx="128">
                        <c:v>103.93279666565232</c:v>
                      </c:pt>
                      <c:pt idx="129">
                        <c:v>104.20205261556333</c:v>
                      </c:pt>
                      <c:pt idx="130">
                        <c:v>104.34774590352887</c:v>
                      </c:pt>
                      <c:pt idx="131">
                        <c:v>104.2426254299335</c:v>
                      </c:pt>
                      <c:pt idx="132">
                        <c:v>104.59763755567232</c:v>
                      </c:pt>
                      <c:pt idx="133">
                        <c:v>104.24723597702101</c:v>
                      </c:pt>
                      <c:pt idx="134">
                        <c:v>104.23709277342849</c:v>
                      </c:pt>
                      <c:pt idx="135">
                        <c:v>104.82078803470819</c:v>
                      </c:pt>
                      <c:pt idx="136">
                        <c:v>105.25879000802234</c:v>
                      </c:pt>
                      <c:pt idx="137">
                        <c:v>105.72814370153161</c:v>
                      </c:pt>
                      <c:pt idx="138">
                        <c:v>105.46442040812562</c:v>
                      </c:pt>
                      <c:pt idx="139">
                        <c:v>105.7521185463867</c:v>
                      </c:pt>
                      <c:pt idx="140">
                        <c:v>106.03705035639528</c:v>
                      </c:pt>
                      <c:pt idx="141">
                        <c:v>105.50960376958328</c:v>
                      </c:pt>
                      <c:pt idx="142">
                        <c:v>105.26708899277985</c:v>
                      </c:pt>
                      <c:pt idx="143">
                        <c:v>105.25971211743983</c:v>
                      </c:pt>
                      <c:pt idx="144">
                        <c:v>106.11911809455306</c:v>
                      </c:pt>
                      <c:pt idx="145">
                        <c:v>105.80928933027189</c:v>
                      </c:pt>
                      <c:pt idx="146">
                        <c:v>105.97895746309251</c:v>
                      </c:pt>
                      <c:pt idx="147">
                        <c:v>106.09329903086295</c:v>
                      </c:pt>
                      <c:pt idx="148">
                        <c:v>106.1827436443608</c:v>
                      </c:pt>
                      <c:pt idx="149">
                        <c:v>106.27679880494615</c:v>
                      </c:pt>
                      <c:pt idx="150">
                        <c:v>106.43447951533926</c:v>
                      </c:pt>
                      <c:pt idx="151">
                        <c:v>106.06747996717287</c:v>
                      </c:pt>
                      <c:pt idx="152">
                        <c:v>105.40817173365788</c:v>
                      </c:pt>
                      <c:pt idx="153">
                        <c:v>106.17260044076828</c:v>
                      </c:pt>
                      <c:pt idx="154">
                        <c:v>106.05918098241536</c:v>
                      </c:pt>
                      <c:pt idx="155">
                        <c:v>105.89873394376974</c:v>
                      </c:pt>
                      <c:pt idx="156">
                        <c:v>105.55939767812846</c:v>
                      </c:pt>
                      <c:pt idx="157">
                        <c:v>105.3592999345302</c:v>
                      </c:pt>
                      <c:pt idx="158">
                        <c:v>105.57507353822602</c:v>
                      </c:pt>
                      <c:pt idx="159">
                        <c:v>105.75580698405672</c:v>
                      </c:pt>
                      <c:pt idx="160">
                        <c:v>106.29155255562623</c:v>
                      </c:pt>
                      <c:pt idx="161">
                        <c:v>106.40958256106669</c:v>
                      </c:pt>
                      <c:pt idx="162">
                        <c:v>107.23948103681983</c:v>
                      </c:pt>
                      <c:pt idx="163">
                        <c:v>107.09102142060175</c:v>
                      </c:pt>
                      <c:pt idx="164">
                        <c:v>107.45156620284561</c:v>
                      </c:pt>
                      <c:pt idx="165">
                        <c:v>108.55994172268478</c:v>
                      </c:pt>
                      <c:pt idx="166">
                        <c:v>107.88956817615976</c:v>
                      </c:pt>
                      <c:pt idx="167">
                        <c:v>108.46588656209943</c:v>
                      </c:pt>
                      <c:pt idx="168">
                        <c:v>108.36168819792154</c:v>
                      </c:pt>
                      <c:pt idx="169">
                        <c:v>107.82778684518701</c:v>
                      </c:pt>
                      <c:pt idx="170">
                        <c:v>107.30126236779253</c:v>
                      </c:pt>
                      <c:pt idx="171">
                        <c:v>107.3215487749776</c:v>
                      </c:pt>
                      <c:pt idx="172">
                        <c:v>107.93567364703493</c:v>
                      </c:pt>
                      <c:pt idx="173">
                        <c:v>107.07811188875669</c:v>
                      </c:pt>
                      <c:pt idx="174">
                        <c:v>107.36488791760026</c:v>
                      </c:pt>
                      <c:pt idx="175">
                        <c:v>106.84758453438081</c:v>
                      </c:pt>
                      <c:pt idx="176">
                        <c:v>106.54697686427468</c:v>
                      </c:pt>
                      <c:pt idx="177">
                        <c:v>106.78488109399058</c:v>
                      </c:pt>
                      <c:pt idx="178">
                        <c:v>106.43724584359177</c:v>
                      </c:pt>
                      <c:pt idx="179">
                        <c:v>106.69174804282272</c:v>
                      </c:pt>
                      <c:pt idx="180">
                        <c:v>107.14727009506946</c:v>
                      </c:pt>
                      <c:pt idx="181">
                        <c:v>107.56775198945104</c:v>
                      </c:pt>
                      <c:pt idx="182">
                        <c:v>107.85360590887714</c:v>
                      </c:pt>
                      <c:pt idx="183">
                        <c:v>107.90801036450983</c:v>
                      </c:pt>
                      <c:pt idx="184">
                        <c:v>108.14775881306072</c:v>
                      </c:pt>
                      <c:pt idx="185">
                        <c:v>108.09243224801051</c:v>
                      </c:pt>
                      <c:pt idx="186">
                        <c:v>107.53916659750841</c:v>
                      </c:pt>
                      <c:pt idx="187">
                        <c:v>108.36537663559153</c:v>
                      </c:pt>
                      <c:pt idx="188">
                        <c:v>108.87253681521844</c:v>
                      </c:pt>
                      <c:pt idx="189">
                        <c:v>109.33174730513518</c:v>
                      </c:pt>
                      <c:pt idx="190">
                        <c:v>109.17406659474209</c:v>
                      </c:pt>
                      <c:pt idx="191">
                        <c:v>108.97028041347382</c:v>
                      </c:pt>
                      <c:pt idx="192">
                        <c:v>108.31373850821134</c:v>
                      </c:pt>
                      <c:pt idx="193">
                        <c:v>108.7794037640506</c:v>
                      </c:pt>
                      <c:pt idx="194">
                        <c:v>108.61895672540498</c:v>
                      </c:pt>
                      <c:pt idx="195">
                        <c:v>109.46914160834321</c:v>
                      </c:pt>
                      <c:pt idx="196">
                        <c:v>109.46453106125568</c:v>
                      </c:pt>
                      <c:pt idx="197">
                        <c:v>109.19896354901469</c:v>
                      </c:pt>
                      <c:pt idx="198">
                        <c:v>108.84118509502333</c:v>
                      </c:pt>
                      <c:pt idx="199">
                        <c:v>109.18882034542216</c:v>
                      </c:pt>
                      <c:pt idx="200">
                        <c:v>109.40643816795298</c:v>
                      </c:pt>
                      <c:pt idx="201">
                        <c:v>109.75038498068179</c:v>
                      </c:pt>
                      <c:pt idx="202">
                        <c:v>109.81216631165452</c:v>
                      </c:pt>
                      <c:pt idx="203">
                        <c:v>110.35713297739906</c:v>
                      </c:pt>
                      <c:pt idx="204">
                        <c:v>110.21973867419103</c:v>
                      </c:pt>
                      <c:pt idx="205">
                        <c:v>110.40323844827422</c:v>
                      </c:pt>
                      <c:pt idx="206">
                        <c:v>109.37877488542787</c:v>
                      </c:pt>
                      <c:pt idx="207">
                        <c:v>108.9647477569688</c:v>
                      </c:pt>
                      <c:pt idx="208">
                        <c:v>108.99978791483393</c:v>
                      </c:pt>
                      <c:pt idx="209">
                        <c:v>109.31330511678513</c:v>
                      </c:pt>
                      <c:pt idx="210">
                        <c:v>108.35984397908653</c:v>
                      </c:pt>
                      <c:pt idx="211">
                        <c:v>108.40594944996171</c:v>
                      </c:pt>
                      <c:pt idx="212">
                        <c:v>108.60420297472494</c:v>
                      </c:pt>
                      <c:pt idx="213">
                        <c:v>108.57653969219984</c:v>
                      </c:pt>
                      <c:pt idx="214">
                        <c:v>107.70422418324155</c:v>
                      </c:pt>
                      <c:pt idx="215">
                        <c:v>107.69776941731904</c:v>
                      </c:pt>
                      <c:pt idx="216">
                        <c:v>108.07583427849545</c:v>
                      </c:pt>
                      <c:pt idx="217">
                        <c:v>107.7429527787767</c:v>
                      </c:pt>
                      <c:pt idx="218">
                        <c:v>108.29898475753129</c:v>
                      </c:pt>
                      <c:pt idx="219">
                        <c:v>108.57377336394732</c:v>
                      </c:pt>
                      <c:pt idx="220">
                        <c:v>108.66875063395017</c:v>
                      </c:pt>
                      <c:pt idx="221">
                        <c:v>108.69641391647527</c:v>
                      </c:pt>
                      <c:pt idx="222">
                        <c:v>109.3391241804752</c:v>
                      </c:pt>
                      <c:pt idx="223">
                        <c:v>108.90573275424856</c:v>
                      </c:pt>
                      <c:pt idx="224">
                        <c:v>108.88636845648098</c:v>
                      </c:pt>
                      <c:pt idx="225">
                        <c:v>108.66137375861014</c:v>
                      </c:pt>
                      <c:pt idx="226">
                        <c:v>109.27365441183244</c:v>
                      </c:pt>
                      <c:pt idx="227">
                        <c:v>109.02929541619403</c:v>
                      </c:pt>
                      <c:pt idx="228">
                        <c:v>108.73514251201041</c:v>
                      </c:pt>
                      <c:pt idx="229">
                        <c:v>109.12427268619689</c:v>
                      </c:pt>
                      <c:pt idx="230">
                        <c:v>109.16392339114952</c:v>
                      </c:pt>
                      <c:pt idx="231">
                        <c:v>108.85132829861585</c:v>
                      </c:pt>
                      <c:pt idx="232">
                        <c:v>109.027451197359</c:v>
                      </c:pt>
                      <c:pt idx="233">
                        <c:v>109.46360895183815</c:v>
                      </c:pt>
                      <c:pt idx="234">
                        <c:v>109.73839755825419</c:v>
                      </c:pt>
                      <c:pt idx="235">
                        <c:v>109.64618661650385</c:v>
                      </c:pt>
                      <c:pt idx="236">
                        <c:v>109.61760122456126</c:v>
                      </c:pt>
                      <c:pt idx="237">
                        <c:v>109.74577443359424</c:v>
                      </c:pt>
                      <c:pt idx="238">
                        <c:v>110.13951515486822</c:v>
                      </c:pt>
                      <c:pt idx="239">
                        <c:v>109.79464623272192</c:v>
                      </c:pt>
                      <c:pt idx="240">
                        <c:v>109.05880291755413</c:v>
                      </c:pt>
                      <c:pt idx="241">
                        <c:v>108.52582367423712</c:v>
                      </c:pt>
                      <c:pt idx="242">
                        <c:v>108.50830359530454</c:v>
                      </c:pt>
                      <c:pt idx="243">
                        <c:v>108.80891126541067</c:v>
                      </c:pt>
                      <c:pt idx="244">
                        <c:v>108.85870517395585</c:v>
                      </c:pt>
                      <c:pt idx="245">
                        <c:v>108.50738148588704</c:v>
                      </c:pt>
                      <c:pt idx="246">
                        <c:v>108.36537663559152</c:v>
                      </c:pt>
                      <c:pt idx="247">
                        <c:v>108.63832102317255</c:v>
                      </c:pt>
                      <c:pt idx="248">
                        <c:v>108.88821267531597</c:v>
                      </c:pt>
                      <c:pt idx="249">
                        <c:v>109.2616669894049</c:v>
                      </c:pt>
                      <c:pt idx="250">
                        <c:v>109.28748605309498</c:v>
                      </c:pt>
                      <c:pt idx="251">
                        <c:v>109.23031526920975</c:v>
                      </c:pt>
                      <c:pt idx="252">
                        <c:v>109.38891808902035</c:v>
                      </c:pt>
                      <c:pt idx="253">
                        <c:v>109.51893551688835</c:v>
                      </c:pt>
                      <c:pt idx="254">
                        <c:v>109.68768154029148</c:v>
                      </c:pt>
                      <c:pt idx="255">
                        <c:v>109.79280201388688</c:v>
                      </c:pt>
                      <c:pt idx="256">
                        <c:v>109.75038498068172</c:v>
                      </c:pt>
                      <c:pt idx="257">
                        <c:v>109.32068199212509</c:v>
                      </c:pt>
                      <c:pt idx="258">
                        <c:v>109.36125480649524</c:v>
                      </c:pt>
                      <c:pt idx="259">
                        <c:v>109.3262146486301</c:v>
                      </c:pt>
                      <c:pt idx="260">
                        <c:v>109.55489778417096</c:v>
                      </c:pt>
                      <c:pt idx="261">
                        <c:v>109.24230269163729</c:v>
                      </c:pt>
                      <c:pt idx="262">
                        <c:v>109.67200568019391</c:v>
                      </c:pt>
                      <c:pt idx="263">
                        <c:v>109.54291036174344</c:v>
                      </c:pt>
                    </c:numCache>
                  </c:numRef>
                </c:val>
                <c:smooth val="0"/>
                <c:extLst xmlns:c15="http://schemas.microsoft.com/office/drawing/2012/chart">
                  <c:ext xmlns:c16="http://schemas.microsoft.com/office/drawing/2014/chart" uri="{C3380CC4-5D6E-409C-BE32-E72D297353CC}">
                    <c16:uniqueId val="{00000007-610E-4E11-9B96-CB188C2DFCB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'Currency Chart'!$V$5</c15:sqref>
                        </c15:formulaRef>
                      </c:ext>
                    </c:extLst>
                    <c:strCache>
                      <c:ptCount val="1"/>
                      <c:pt idx="0">
                        <c:v>Pound</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Chart'!$V$6:$V$291</c15:sqref>
                        </c15:formulaRef>
                      </c:ext>
                    </c:extLst>
                    <c:numCache>
                      <c:formatCode>0</c:formatCode>
                      <c:ptCount val="286"/>
                      <c:pt idx="0" formatCode="General">
                        <c:v>100</c:v>
                      </c:pt>
                      <c:pt idx="1">
                        <c:v>100.02735603884558</c:v>
                      </c:pt>
                      <c:pt idx="2">
                        <c:v>100.76596908767611</c:v>
                      </c:pt>
                      <c:pt idx="3">
                        <c:v>100.36930652441526</c:v>
                      </c:pt>
                      <c:pt idx="4">
                        <c:v>100.49240869922035</c:v>
                      </c:pt>
                      <c:pt idx="5">
                        <c:v>100.80700314594445</c:v>
                      </c:pt>
                      <c:pt idx="6">
                        <c:v>100.82068116536723</c:v>
                      </c:pt>
                      <c:pt idx="7">
                        <c:v>101.17630967035973</c:v>
                      </c:pt>
                      <c:pt idx="8">
                        <c:v>100.06839009711393</c:v>
                      </c:pt>
                      <c:pt idx="9">
                        <c:v>100.27356038845573</c:v>
                      </c:pt>
                      <c:pt idx="10">
                        <c:v>99.90425386404047</c:v>
                      </c:pt>
                      <c:pt idx="11">
                        <c:v>100.642866912871</c:v>
                      </c:pt>
                      <c:pt idx="12">
                        <c:v>100.65654493229378</c:v>
                      </c:pt>
                      <c:pt idx="13">
                        <c:v>100.34195048556968</c:v>
                      </c:pt>
                      <c:pt idx="14">
                        <c:v>100.15045821365065</c:v>
                      </c:pt>
                      <c:pt idx="15">
                        <c:v>99.589659417316355</c:v>
                      </c:pt>
                      <c:pt idx="16">
                        <c:v>99.931609902886052</c:v>
                      </c:pt>
                      <c:pt idx="17">
                        <c:v>100.01367801942276</c:v>
                      </c:pt>
                      <c:pt idx="18">
                        <c:v>99.534947339625191</c:v>
                      </c:pt>
                      <c:pt idx="19">
                        <c:v>99.931609902886038</c:v>
                      </c:pt>
                      <c:pt idx="20">
                        <c:v>99.671727533853073</c:v>
                      </c:pt>
                      <c:pt idx="21">
                        <c:v>99.822185747503724</c:v>
                      </c:pt>
                      <c:pt idx="22">
                        <c:v>100.09574613595947</c:v>
                      </c:pt>
                      <c:pt idx="23">
                        <c:v>100.06839009711391</c:v>
                      </c:pt>
                      <c:pt idx="24">
                        <c:v>100.21884831076457</c:v>
                      </c:pt>
                      <c:pt idx="25">
                        <c:v>100.02735603884554</c:v>
                      </c:pt>
                      <c:pt idx="26">
                        <c:v>99.575981397893557</c:v>
                      </c:pt>
                      <c:pt idx="27">
                        <c:v>99.534947339625191</c:v>
                      </c:pt>
                      <c:pt idx="28">
                        <c:v>98.987826562713693</c:v>
                      </c:pt>
                      <c:pt idx="29">
                        <c:v>98.851046368485825</c:v>
                      </c:pt>
                      <c:pt idx="30">
                        <c:v>98.987826562713707</c:v>
                      </c:pt>
                      <c:pt idx="31">
                        <c:v>98.79633429079469</c:v>
                      </c:pt>
                      <c:pt idx="32">
                        <c:v>98.358637669265477</c:v>
                      </c:pt>
                      <c:pt idx="33">
                        <c:v>98.372315688688261</c:v>
                      </c:pt>
                      <c:pt idx="34">
                        <c:v>98.74162221310354</c:v>
                      </c:pt>
                      <c:pt idx="35">
                        <c:v>97.838872931199575</c:v>
                      </c:pt>
                      <c:pt idx="36">
                        <c:v>97.578990562166609</c:v>
                      </c:pt>
                      <c:pt idx="37">
                        <c:v>97.578990562166609</c:v>
                      </c:pt>
                      <c:pt idx="38">
                        <c:v>97.237040076596912</c:v>
                      </c:pt>
                      <c:pt idx="39">
                        <c:v>96.908767610450013</c:v>
                      </c:pt>
                      <c:pt idx="40">
                        <c:v>96.717275338530982</c:v>
                      </c:pt>
                      <c:pt idx="41">
                        <c:v>97.578990562166609</c:v>
                      </c:pt>
                      <c:pt idx="42">
                        <c:v>98.153467377923675</c:v>
                      </c:pt>
                      <c:pt idx="43">
                        <c:v>98.208179455614825</c:v>
                      </c:pt>
                      <c:pt idx="44">
                        <c:v>98.00300916427301</c:v>
                      </c:pt>
                      <c:pt idx="45">
                        <c:v>98.00300916427301</c:v>
                      </c:pt>
                      <c:pt idx="46">
                        <c:v>98.413349746956641</c:v>
                      </c:pt>
                      <c:pt idx="47">
                        <c:v>98.79633429079469</c:v>
                      </c:pt>
                      <c:pt idx="48">
                        <c:v>98.919436465599759</c:v>
                      </c:pt>
                      <c:pt idx="49">
                        <c:v>98.42702776637941</c:v>
                      </c:pt>
                      <c:pt idx="50">
                        <c:v>98.167145397346445</c:v>
                      </c:pt>
                      <c:pt idx="51">
                        <c:v>97.74312679524003</c:v>
                      </c:pt>
                      <c:pt idx="52">
                        <c:v>98.208179455614811</c:v>
                      </c:pt>
                      <c:pt idx="53">
                        <c:v>98.427027766379425</c:v>
                      </c:pt>
                      <c:pt idx="54">
                        <c:v>98.440705785802209</c:v>
                      </c:pt>
                      <c:pt idx="55">
                        <c:v>97.934619067159062</c:v>
                      </c:pt>
                      <c:pt idx="56">
                        <c:v>98.221857475037595</c:v>
                      </c:pt>
                      <c:pt idx="57">
                        <c:v>98.591163999452874</c:v>
                      </c:pt>
                      <c:pt idx="58">
                        <c:v>98.645876077144024</c:v>
                      </c:pt>
                      <c:pt idx="59">
                        <c:v>99.452879223088487</c:v>
                      </c:pt>
                      <c:pt idx="60">
                        <c:v>99.904253864040484</c:v>
                      </c:pt>
                      <c:pt idx="61">
                        <c:v>99.575981397893571</c:v>
                      </c:pt>
                      <c:pt idx="62">
                        <c:v>99.192996854055522</c:v>
                      </c:pt>
                      <c:pt idx="63">
                        <c:v>99.357133087128986</c:v>
                      </c:pt>
                      <c:pt idx="64">
                        <c:v>99.521269320202435</c:v>
                      </c:pt>
                      <c:pt idx="65">
                        <c:v>99.220352892901118</c:v>
                      </c:pt>
                      <c:pt idx="66">
                        <c:v>98.864724387908637</c:v>
                      </c:pt>
                      <c:pt idx="67">
                        <c:v>98.864724387908637</c:v>
                      </c:pt>
                      <c:pt idx="68">
                        <c:v>98.399671727533857</c:v>
                      </c:pt>
                      <c:pt idx="69">
                        <c:v>98.919436465599773</c:v>
                      </c:pt>
                      <c:pt idx="70">
                        <c:v>99.562303378470801</c:v>
                      </c:pt>
                      <c:pt idx="71">
                        <c:v>99.575981397893585</c:v>
                      </c:pt>
                      <c:pt idx="72">
                        <c:v>99.753795650389819</c:v>
                      </c:pt>
                      <c:pt idx="73">
                        <c:v>99.521269320202435</c:v>
                      </c:pt>
                      <c:pt idx="74">
                        <c:v>99.466557242511286</c:v>
                      </c:pt>
                      <c:pt idx="75">
                        <c:v>99.247708931746686</c:v>
                      </c:pt>
                      <c:pt idx="76">
                        <c:v>99.192996854055522</c:v>
                      </c:pt>
                      <c:pt idx="77">
                        <c:v>98.878402407331407</c:v>
                      </c:pt>
                      <c:pt idx="78">
                        <c:v>97.770482834085612</c:v>
                      </c:pt>
                      <c:pt idx="79">
                        <c:v>98.126111339078108</c:v>
                      </c:pt>
                      <c:pt idx="80">
                        <c:v>98.180823416769243</c:v>
                      </c:pt>
                      <c:pt idx="81">
                        <c:v>98.823690329640272</c:v>
                      </c:pt>
                      <c:pt idx="82">
                        <c:v>98.563807960607306</c:v>
                      </c:pt>
                      <c:pt idx="83">
                        <c:v>98.563807960607306</c:v>
                      </c:pt>
                      <c:pt idx="84">
                        <c:v>98.385993708111073</c:v>
                      </c:pt>
                      <c:pt idx="85">
                        <c:v>98.290247572151557</c:v>
                      </c:pt>
                      <c:pt idx="86">
                        <c:v>98.15346737792369</c:v>
                      </c:pt>
                      <c:pt idx="87">
                        <c:v>98.098755300232526</c:v>
                      </c:pt>
                      <c:pt idx="88">
                        <c:v>98.987826562713721</c:v>
                      </c:pt>
                      <c:pt idx="89">
                        <c:v>98.317603610997125</c:v>
                      </c:pt>
                      <c:pt idx="90">
                        <c:v>98.481739844070574</c:v>
                      </c:pt>
                      <c:pt idx="91">
                        <c:v>98.358637669265491</c:v>
                      </c:pt>
                      <c:pt idx="92">
                        <c:v>98.468061824647805</c:v>
                      </c:pt>
                      <c:pt idx="93">
                        <c:v>97.866228970045157</c:v>
                      </c:pt>
                      <c:pt idx="94">
                        <c:v>96.813021474490512</c:v>
                      </c:pt>
                      <c:pt idx="95">
                        <c:v>96.703597319108198</c:v>
                      </c:pt>
                      <c:pt idx="96">
                        <c:v>97.30543017371086</c:v>
                      </c:pt>
                      <c:pt idx="97">
                        <c:v>97.319108193133644</c:v>
                      </c:pt>
                      <c:pt idx="98">
                        <c:v>97.004513746409543</c:v>
                      </c:pt>
                      <c:pt idx="99">
                        <c:v>96.744631377376578</c:v>
                      </c:pt>
                      <c:pt idx="100">
                        <c:v>96.389002872384097</c:v>
                      </c:pt>
                      <c:pt idx="101">
                        <c:v>96.895089591027244</c:v>
                      </c:pt>
                      <c:pt idx="102">
                        <c:v>96.375324852961313</c:v>
                      </c:pt>
                      <c:pt idx="103">
                        <c:v>96.66256326083986</c:v>
                      </c:pt>
                      <c:pt idx="104">
                        <c:v>96.607851183148711</c:v>
                      </c:pt>
                      <c:pt idx="105">
                        <c:v>96.621529202571509</c:v>
                      </c:pt>
                      <c:pt idx="106">
                        <c:v>96.854055532758892</c:v>
                      </c:pt>
                      <c:pt idx="107">
                        <c:v>96.265900697579028</c:v>
                      </c:pt>
                      <c:pt idx="108">
                        <c:v>96.389002872384111</c:v>
                      </c:pt>
                      <c:pt idx="109">
                        <c:v>96.224866639310662</c:v>
                      </c:pt>
                      <c:pt idx="110">
                        <c:v>96.648885241417062</c:v>
                      </c:pt>
                      <c:pt idx="111">
                        <c:v>96.512105047189181</c:v>
                      </c:pt>
                      <c:pt idx="112">
                        <c:v>96.949801668718393</c:v>
                      </c:pt>
                      <c:pt idx="113">
                        <c:v>96.607851183148711</c:v>
                      </c:pt>
                      <c:pt idx="114">
                        <c:v>96.443714950075247</c:v>
                      </c:pt>
                      <c:pt idx="115">
                        <c:v>96.607851183148711</c:v>
                      </c:pt>
                      <c:pt idx="116">
                        <c:v>96.854055532758863</c:v>
                      </c:pt>
                      <c:pt idx="117">
                        <c:v>96.457392969498031</c:v>
                      </c:pt>
                      <c:pt idx="118">
                        <c:v>96.949801668718379</c:v>
                      </c:pt>
                      <c:pt idx="119">
                        <c:v>96.922445629872797</c:v>
                      </c:pt>
                      <c:pt idx="120">
                        <c:v>97.100259882369045</c:v>
                      </c:pt>
                      <c:pt idx="121">
                        <c:v>97.770482834085641</c:v>
                      </c:pt>
                      <c:pt idx="122">
                        <c:v>98.235535494460407</c:v>
                      </c:pt>
                      <c:pt idx="123">
                        <c:v>99.028860620982087</c:v>
                      </c:pt>
                      <c:pt idx="124">
                        <c:v>98.139789358500892</c:v>
                      </c:pt>
                      <c:pt idx="125">
                        <c:v>98.044043222541376</c:v>
                      </c:pt>
                      <c:pt idx="126">
                        <c:v>97.934619067159062</c:v>
                      </c:pt>
                      <c:pt idx="127">
                        <c:v>98.221857475037595</c:v>
                      </c:pt>
                      <c:pt idx="128">
                        <c:v>98.550129941184494</c:v>
                      </c:pt>
                      <c:pt idx="129">
                        <c:v>98.49541786349333</c:v>
                      </c:pt>
                      <c:pt idx="130">
                        <c:v>98.837368349063027</c:v>
                      </c:pt>
                      <c:pt idx="131">
                        <c:v>98.892080426754163</c:v>
                      </c:pt>
                      <c:pt idx="132">
                        <c:v>99.329777048283361</c:v>
                      </c:pt>
                      <c:pt idx="133">
                        <c:v>98.878402407331379</c:v>
                      </c:pt>
                      <c:pt idx="134">
                        <c:v>98.768978251949079</c:v>
                      </c:pt>
                      <c:pt idx="135">
                        <c:v>99.083572698673208</c:v>
                      </c:pt>
                      <c:pt idx="136">
                        <c:v>99.083572698673208</c:v>
                      </c:pt>
                      <c:pt idx="137">
                        <c:v>99.206674873478292</c:v>
                      </c:pt>
                      <c:pt idx="138">
                        <c:v>98.385993708111059</c:v>
                      </c:pt>
                      <c:pt idx="139">
                        <c:v>98.522773902338926</c:v>
                      </c:pt>
                      <c:pt idx="140">
                        <c:v>99.001504582136491</c:v>
                      </c:pt>
                      <c:pt idx="141">
                        <c:v>98.673232115989592</c:v>
                      </c:pt>
                      <c:pt idx="142">
                        <c:v>98.892080426754177</c:v>
                      </c:pt>
                      <c:pt idx="143">
                        <c:v>99.329777048283376</c:v>
                      </c:pt>
                      <c:pt idx="144">
                        <c:v>100.01367801942276</c:v>
                      </c:pt>
                      <c:pt idx="145">
                        <c:v>100.35562850499244</c:v>
                      </c:pt>
                      <c:pt idx="146">
                        <c:v>99.740117630966992</c:v>
                      </c:pt>
                      <c:pt idx="147">
                        <c:v>99.316099028860577</c:v>
                      </c:pt>
                      <c:pt idx="148">
                        <c:v>99.507591300779609</c:v>
                      </c:pt>
                      <c:pt idx="149">
                        <c:v>98.960470523868111</c:v>
                      </c:pt>
                      <c:pt idx="150">
                        <c:v>98.536451921761696</c:v>
                      </c:pt>
                      <c:pt idx="151">
                        <c:v>98.38599370811103</c:v>
                      </c:pt>
                      <c:pt idx="152">
                        <c:v>97.948297086581817</c:v>
                      </c:pt>
                      <c:pt idx="153">
                        <c:v>98.372315688688232</c:v>
                      </c:pt>
                      <c:pt idx="154">
                        <c:v>98.5090958829161</c:v>
                      </c:pt>
                      <c:pt idx="155">
                        <c:v>98.276569552728716</c:v>
                      </c:pt>
                      <c:pt idx="156">
                        <c:v>98.45438380522495</c:v>
                      </c:pt>
                      <c:pt idx="157">
                        <c:v>98.180823416769201</c:v>
                      </c:pt>
                      <c:pt idx="158">
                        <c:v>98.577485980030033</c:v>
                      </c:pt>
                      <c:pt idx="159">
                        <c:v>98.768978251949065</c:v>
                      </c:pt>
                      <c:pt idx="160">
                        <c:v>98.782656271371849</c:v>
                      </c:pt>
                      <c:pt idx="161">
                        <c:v>98.577485980030033</c:v>
                      </c:pt>
                      <c:pt idx="162">
                        <c:v>99.056216659827584</c:v>
                      </c:pt>
                      <c:pt idx="163">
                        <c:v>98.632198057721169</c:v>
                      </c:pt>
                      <c:pt idx="164">
                        <c:v>98.727944193680699</c:v>
                      </c:pt>
                      <c:pt idx="165">
                        <c:v>99.534947339625162</c:v>
                      </c:pt>
                      <c:pt idx="166">
                        <c:v>99.411845164820065</c:v>
                      </c:pt>
                      <c:pt idx="167">
                        <c:v>100.25988236903291</c:v>
                      </c:pt>
                      <c:pt idx="168">
                        <c:v>100.39666256326079</c:v>
                      </c:pt>
                      <c:pt idx="169">
                        <c:v>99.685405553275842</c:v>
                      </c:pt>
                      <c:pt idx="170">
                        <c:v>99.617015456161894</c:v>
                      </c:pt>
                      <c:pt idx="171">
                        <c:v>99.384489125974511</c:v>
                      </c:pt>
                      <c:pt idx="172">
                        <c:v>99.82218574750371</c:v>
                      </c:pt>
                      <c:pt idx="173">
                        <c:v>99.398167145397295</c:v>
                      </c:pt>
                      <c:pt idx="174">
                        <c:v>99.384489125974511</c:v>
                      </c:pt>
                      <c:pt idx="175">
                        <c:v>99.411845164820079</c:v>
                      </c:pt>
                      <c:pt idx="176">
                        <c:v>99.316099028860563</c:v>
                      </c:pt>
                      <c:pt idx="177">
                        <c:v>98.851046368485797</c:v>
                      </c:pt>
                      <c:pt idx="178">
                        <c:v>98.632198057721183</c:v>
                      </c:pt>
                      <c:pt idx="179">
                        <c:v>98.837368349063013</c:v>
                      </c:pt>
                      <c:pt idx="180">
                        <c:v>99.19299685405548</c:v>
                      </c:pt>
                      <c:pt idx="181">
                        <c:v>99.302421009437779</c:v>
                      </c:pt>
                      <c:pt idx="182">
                        <c:v>98.837368349062999</c:v>
                      </c:pt>
                      <c:pt idx="183">
                        <c:v>98.810012310217431</c:v>
                      </c:pt>
                      <c:pt idx="184">
                        <c:v>98.823690329640215</c:v>
                      </c:pt>
                      <c:pt idx="185">
                        <c:v>99.02886062098203</c:v>
                      </c:pt>
                      <c:pt idx="186">
                        <c:v>98.837368349063013</c:v>
                      </c:pt>
                      <c:pt idx="187">
                        <c:v>99.179318834632696</c:v>
                      </c:pt>
                      <c:pt idx="188">
                        <c:v>99.507591300779609</c:v>
                      </c:pt>
                      <c:pt idx="189">
                        <c:v>100.12310217480504</c:v>
                      </c:pt>
                      <c:pt idx="190">
                        <c:v>100.10942415538226</c:v>
                      </c:pt>
                      <c:pt idx="191">
                        <c:v>100.35562850499244</c:v>
                      </c:pt>
                      <c:pt idx="192">
                        <c:v>99.699083572698626</c:v>
                      </c:pt>
                      <c:pt idx="193">
                        <c:v>100.01367801942274</c:v>
                      </c:pt>
                      <c:pt idx="194">
                        <c:v>99.835863766926508</c:v>
                      </c:pt>
                      <c:pt idx="195">
                        <c:v>101.03952947613182</c:v>
                      </c:pt>
                      <c:pt idx="196">
                        <c:v>101.8328546026535</c:v>
                      </c:pt>
                      <c:pt idx="197">
                        <c:v>101.5045821365066</c:v>
                      </c:pt>
                      <c:pt idx="198">
                        <c:v>100.9574613595951</c:v>
                      </c:pt>
                      <c:pt idx="199">
                        <c:v>100.47873067979755</c:v>
                      </c:pt>
                      <c:pt idx="200">
                        <c:v>100.32827246614688</c:v>
                      </c:pt>
                      <c:pt idx="201">
                        <c:v>100.69757899056215</c:v>
                      </c:pt>
                      <c:pt idx="202">
                        <c:v>100.42401860210639</c:v>
                      </c:pt>
                      <c:pt idx="203">
                        <c:v>100.46505266037477</c:v>
                      </c:pt>
                      <c:pt idx="204">
                        <c:v>100.58815483517986</c:v>
                      </c:pt>
                      <c:pt idx="205">
                        <c:v>100.64286691287101</c:v>
                      </c:pt>
                      <c:pt idx="206">
                        <c:v>100.12310217480508</c:v>
                      </c:pt>
                      <c:pt idx="207">
                        <c:v>100.01367801942278</c:v>
                      </c:pt>
                      <c:pt idx="208">
                        <c:v>99.452879223088502</c:v>
                      </c:pt>
                      <c:pt idx="209">
                        <c:v>99.630693475584749</c:v>
                      </c:pt>
                      <c:pt idx="210">
                        <c:v>99.124606756941603</c:v>
                      </c:pt>
                      <c:pt idx="211">
                        <c:v>98.933114485022585</c:v>
                      </c:pt>
                      <c:pt idx="212">
                        <c:v>99.151962795787185</c:v>
                      </c:pt>
                      <c:pt idx="213">
                        <c:v>99.439201203665732</c:v>
                      </c:pt>
                      <c:pt idx="214">
                        <c:v>99.329777048283432</c:v>
                      </c:pt>
                      <c:pt idx="215">
                        <c:v>99.329777048283432</c:v>
                      </c:pt>
                      <c:pt idx="216">
                        <c:v>99.466557242511314</c:v>
                      </c:pt>
                      <c:pt idx="217">
                        <c:v>99.179318834632781</c:v>
                      </c:pt>
                      <c:pt idx="218">
                        <c:v>99.876897825194945</c:v>
                      </c:pt>
                      <c:pt idx="219">
                        <c:v>100.08206811653676</c:v>
                      </c:pt>
                      <c:pt idx="220">
                        <c:v>100.43769662152923</c:v>
                      </c:pt>
                      <c:pt idx="221">
                        <c:v>99.931609902886095</c:v>
                      </c:pt>
                      <c:pt idx="222">
                        <c:v>101.31308986458764</c:v>
                      </c:pt>
                      <c:pt idx="223">
                        <c:v>101.31308986458764</c:v>
                      </c:pt>
                      <c:pt idx="224">
                        <c:v>100.84803720421286</c:v>
                      </c:pt>
                      <c:pt idx="225">
                        <c:v>100.88907126248124</c:v>
                      </c:pt>
                      <c:pt idx="226">
                        <c:v>102.02434687457261</c:v>
                      </c:pt>
                      <c:pt idx="227">
                        <c:v>102.27055122418278</c:v>
                      </c:pt>
                      <c:pt idx="228">
                        <c:v>101.94227875803588</c:v>
                      </c:pt>
                      <c:pt idx="229">
                        <c:v>101.90124469976753</c:v>
                      </c:pt>
                      <c:pt idx="230">
                        <c:v>101.83285460265361</c:v>
                      </c:pt>
                      <c:pt idx="231">
                        <c:v>101.43619203939276</c:v>
                      </c:pt>
                      <c:pt idx="232">
                        <c:v>101.35412392285603</c:v>
                      </c:pt>
                      <c:pt idx="233">
                        <c:v>101.65504035015735</c:v>
                      </c:pt>
                      <c:pt idx="234">
                        <c:v>102.09273697168655</c:v>
                      </c:pt>
                      <c:pt idx="235">
                        <c:v>102.21583914649163</c:v>
                      </c:pt>
                      <c:pt idx="236">
                        <c:v>102.59882369032968</c:v>
                      </c:pt>
                      <c:pt idx="237">
                        <c:v>102.65353576802083</c:v>
                      </c:pt>
                      <c:pt idx="238">
                        <c:v>102.53043359321576</c:v>
                      </c:pt>
                      <c:pt idx="239">
                        <c:v>102.72192586513478</c:v>
                      </c:pt>
                      <c:pt idx="240">
                        <c:v>102.83135002051708</c:v>
                      </c:pt>
                      <c:pt idx="241">
                        <c:v>102.98180823416773</c:v>
                      </c:pt>
                      <c:pt idx="242">
                        <c:v>102.76295992340313</c:v>
                      </c:pt>
                      <c:pt idx="243">
                        <c:v>103.35111475858301</c:v>
                      </c:pt>
                      <c:pt idx="244">
                        <c:v>103.09123238955004</c:v>
                      </c:pt>
                      <c:pt idx="245">
                        <c:v>103.25536862262349</c:v>
                      </c:pt>
                      <c:pt idx="246">
                        <c:v>103.51525099165646</c:v>
                      </c:pt>
                      <c:pt idx="247">
                        <c:v>103.44686089454252</c:v>
                      </c:pt>
                      <c:pt idx="248">
                        <c:v>103.03652031185889</c:v>
                      </c:pt>
                      <c:pt idx="249">
                        <c:v>103.46053891396532</c:v>
                      </c:pt>
                      <c:pt idx="250">
                        <c:v>103.29640268089187</c:v>
                      </c:pt>
                      <c:pt idx="251">
                        <c:v>103.10491040897286</c:v>
                      </c:pt>
                      <c:pt idx="252">
                        <c:v>102.66721378744366</c:v>
                      </c:pt>
                      <c:pt idx="253">
                        <c:v>103.29640268089189</c:v>
                      </c:pt>
                      <c:pt idx="254">
                        <c:v>103.55628504992485</c:v>
                      </c:pt>
                      <c:pt idx="255">
                        <c:v>103.06387635070449</c:v>
                      </c:pt>
                      <c:pt idx="256">
                        <c:v>102.42100943783349</c:v>
                      </c:pt>
                      <c:pt idx="257">
                        <c:v>101.99699083572708</c:v>
                      </c:pt>
                      <c:pt idx="258">
                        <c:v>102.16112706880052</c:v>
                      </c:pt>
                      <c:pt idx="259">
                        <c:v>101.73710846669411</c:v>
                      </c:pt>
                      <c:pt idx="260">
                        <c:v>101.79182054438525</c:v>
                      </c:pt>
                      <c:pt idx="261">
                        <c:v>101.38147996170161</c:v>
                      </c:pt>
                      <c:pt idx="262">
                        <c:v>101.34044590343325</c:v>
                      </c:pt>
                      <c:pt idx="263">
                        <c:v>101.0668855149775</c:v>
                      </c:pt>
                    </c:numCache>
                  </c:numRef>
                </c:val>
                <c:smooth val="0"/>
                <c:extLst xmlns:c15="http://schemas.microsoft.com/office/drawing/2012/chart">
                  <c:ext xmlns:c16="http://schemas.microsoft.com/office/drawing/2014/chart" uri="{C3380CC4-5D6E-409C-BE32-E72D297353CC}">
                    <c16:uniqueId val="{00000008-610E-4E11-9B96-CB188C2DFCB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'Currency Chart'!$W$5</c15:sqref>
                        </c15:formulaRef>
                      </c:ext>
                    </c:extLst>
                    <c:strCache>
                      <c:ptCount val="1"/>
                      <c:pt idx="0">
                        <c:v>Euro</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Chart'!$W$6:$W$291</c15:sqref>
                        </c15:formulaRef>
                      </c:ext>
                    </c:extLst>
                    <c:numCache>
                      <c:formatCode>0</c:formatCode>
                      <c:ptCount val="286"/>
                      <c:pt idx="0" formatCode="General">
                        <c:v>100</c:v>
                      </c:pt>
                      <c:pt idx="1">
                        <c:v>100.63530849114233</c:v>
                      </c:pt>
                      <c:pt idx="2">
                        <c:v>99.718998167379354</c:v>
                      </c:pt>
                      <c:pt idx="3">
                        <c:v>99.328039095907144</c:v>
                      </c:pt>
                      <c:pt idx="4">
                        <c:v>99.09590714722053</c:v>
                      </c:pt>
                      <c:pt idx="5">
                        <c:v>99.535736102626757</c:v>
                      </c:pt>
                      <c:pt idx="6">
                        <c:v>99.975565058032984</c:v>
                      </c:pt>
                      <c:pt idx="7">
                        <c:v>100.52535125229078</c:v>
                      </c:pt>
                      <c:pt idx="8">
                        <c:v>100.07330482590105</c:v>
                      </c:pt>
                      <c:pt idx="9">
                        <c:v>100.48869883934026</c:v>
                      </c:pt>
                      <c:pt idx="10">
                        <c:v>100.47648136835676</c:v>
                      </c:pt>
                      <c:pt idx="11">
                        <c:v>101.12400733048258</c:v>
                      </c:pt>
                      <c:pt idx="12">
                        <c:v>101.1362248014661</c:v>
                      </c:pt>
                      <c:pt idx="13">
                        <c:v>100.72083078802689</c:v>
                      </c:pt>
                      <c:pt idx="14">
                        <c:v>100.90409285277947</c:v>
                      </c:pt>
                      <c:pt idx="15">
                        <c:v>100.42761148442273</c:v>
                      </c:pt>
                      <c:pt idx="16">
                        <c:v>100.40317654245571</c:v>
                      </c:pt>
                      <c:pt idx="17">
                        <c:v>100.63530849114234</c:v>
                      </c:pt>
                      <c:pt idx="18">
                        <c:v>100.45204642638976</c:v>
                      </c:pt>
                      <c:pt idx="19">
                        <c:v>100.86744043982897</c:v>
                      </c:pt>
                      <c:pt idx="20">
                        <c:v>100.75748320097742</c:v>
                      </c:pt>
                      <c:pt idx="21">
                        <c:v>100.65974343310937</c:v>
                      </c:pt>
                      <c:pt idx="22">
                        <c:v>101.29505192425171</c:v>
                      </c:pt>
                      <c:pt idx="23">
                        <c:v>101.4294441050703</c:v>
                      </c:pt>
                      <c:pt idx="24">
                        <c:v>101.52718387293835</c:v>
                      </c:pt>
                      <c:pt idx="25">
                        <c:v>102.12583995113016</c:v>
                      </c:pt>
                      <c:pt idx="26">
                        <c:v>101.4294441050703</c:v>
                      </c:pt>
                      <c:pt idx="27">
                        <c:v>101.39279169211977</c:v>
                      </c:pt>
                      <c:pt idx="28">
                        <c:v>100.79413561392795</c:v>
                      </c:pt>
                      <c:pt idx="29">
                        <c:v>100.80635308491146</c:v>
                      </c:pt>
                      <c:pt idx="30">
                        <c:v>100.70861331704342</c:v>
                      </c:pt>
                      <c:pt idx="31">
                        <c:v>100.78191814294445</c:v>
                      </c:pt>
                      <c:pt idx="32">
                        <c:v>100.70861331704342</c:v>
                      </c:pt>
                      <c:pt idx="33">
                        <c:v>100.89187538179601</c:v>
                      </c:pt>
                      <c:pt idx="34">
                        <c:v>101.47831398900433</c:v>
                      </c:pt>
                      <c:pt idx="35">
                        <c:v>101.03848503359809</c:v>
                      </c:pt>
                      <c:pt idx="36">
                        <c:v>100.79413561392796</c:v>
                      </c:pt>
                      <c:pt idx="37">
                        <c:v>100.79413561392796</c:v>
                      </c:pt>
                      <c:pt idx="38">
                        <c:v>100.48869883934032</c:v>
                      </c:pt>
                      <c:pt idx="39">
                        <c:v>100.54978619425785</c:v>
                      </c:pt>
                      <c:pt idx="40">
                        <c:v>100.42761148442278</c:v>
                      </c:pt>
                      <c:pt idx="41">
                        <c:v>100.31765424557123</c:v>
                      </c:pt>
                      <c:pt idx="42">
                        <c:v>101.16065974343317</c:v>
                      </c:pt>
                      <c:pt idx="43">
                        <c:v>101.3805742211363</c:v>
                      </c:pt>
                      <c:pt idx="44">
                        <c:v>101.02626756261461</c:v>
                      </c:pt>
                      <c:pt idx="45">
                        <c:v>101.25839951130123</c:v>
                      </c:pt>
                      <c:pt idx="46">
                        <c:v>102.06475259621266</c:v>
                      </c:pt>
                      <c:pt idx="47">
                        <c:v>102.50458155161887</c:v>
                      </c:pt>
                      <c:pt idx="48">
                        <c:v>103.12767257177769</c:v>
                      </c:pt>
                      <c:pt idx="49">
                        <c:v>102.65119120342094</c:v>
                      </c:pt>
                      <c:pt idx="50">
                        <c:v>102.41905925473432</c:v>
                      </c:pt>
                      <c:pt idx="51">
                        <c:v>101.91814294441056</c:v>
                      </c:pt>
                      <c:pt idx="52">
                        <c:v>102.18692730604769</c:v>
                      </c:pt>
                      <c:pt idx="53">
                        <c:v>102.39462431276729</c:v>
                      </c:pt>
                      <c:pt idx="54">
                        <c:v>102.63897373243741</c:v>
                      </c:pt>
                      <c:pt idx="55">
                        <c:v>101.97923029932807</c:v>
                      </c:pt>
                      <c:pt idx="56">
                        <c:v>102.52901649358586</c:v>
                      </c:pt>
                      <c:pt idx="57">
                        <c:v>102.62675626145391</c:v>
                      </c:pt>
                      <c:pt idx="58">
                        <c:v>102.34575442883326</c:v>
                      </c:pt>
                      <c:pt idx="59">
                        <c:v>103.07880268784365</c:v>
                      </c:pt>
                      <c:pt idx="60">
                        <c:v>103.42089187538183</c:v>
                      </c:pt>
                      <c:pt idx="61">
                        <c:v>103.84850335980454</c:v>
                      </c:pt>
                      <c:pt idx="62">
                        <c:v>103.57971899816739</c:v>
                      </c:pt>
                      <c:pt idx="63">
                        <c:v>103.83628588882104</c:v>
                      </c:pt>
                      <c:pt idx="64">
                        <c:v>104.26389737324376</c:v>
                      </c:pt>
                      <c:pt idx="65">
                        <c:v>104.1417226634087</c:v>
                      </c:pt>
                      <c:pt idx="66">
                        <c:v>103.72632864996947</c:v>
                      </c:pt>
                      <c:pt idx="67">
                        <c:v>103.83628588882104</c:v>
                      </c:pt>
                      <c:pt idx="68">
                        <c:v>103.40867440439831</c:v>
                      </c:pt>
                      <c:pt idx="69">
                        <c:v>102.85888821014052</c:v>
                      </c:pt>
                      <c:pt idx="70">
                        <c:v>102.89554062309104</c:v>
                      </c:pt>
                      <c:pt idx="71">
                        <c:v>102.54123396456936</c:v>
                      </c:pt>
                      <c:pt idx="72">
                        <c:v>102.62675626145391</c:v>
                      </c:pt>
                      <c:pt idx="73">
                        <c:v>102.55345143555287</c:v>
                      </c:pt>
                      <c:pt idx="74">
                        <c:v>102.2357971899817</c:v>
                      </c:pt>
                      <c:pt idx="75">
                        <c:v>101.96701282834455</c:v>
                      </c:pt>
                      <c:pt idx="76">
                        <c:v>102.07697006719611</c:v>
                      </c:pt>
                      <c:pt idx="77">
                        <c:v>101.91814294441053</c:v>
                      </c:pt>
                      <c:pt idx="78">
                        <c:v>101.50274893097131</c:v>
                      </c:pt>
                      <c:pt idx="79">
                        <c:v>101.50274893097131</c:v>
                      </c:pt>
                      <c:pt idx="80">
                        <c:v>101.50274893097131</c:v>
                      </c:pt>
                      <c:pt idx="81">
                        <c:v>101.6737935247404</c:v>
                      </c:pt>
                      <c:pt idx="82">
                        <c:v>100.96518020769703</c:v>
                      </c:pt>
                      <c:pt idx="83">
                        <c:v>100.96518020769703</c:v>
                      </c:pt>
                      <c:pt idx="84">
                        <c:v>101.11178985949911</c:v>
                      </c:pt>
                      <c:pt idx="85">
                        <c:v>101.02626756261456</c:v>
                      </c:pt>
                      <c:pt idx="86">
                        <c:v>100.74526572999392</c:v>
                      </c:pt>
                      <c:pt idx="87">
                        <c:v>100.78191814294442</c:v>
                      </c:pt>
                      <c:pt idx="88">
                        <c:v>101.62492364080636</c:v>
                      </c:pt>
                      <c:pt idx="89">
                        <c:v>101.25839951130116</c:v>
                      </c:pt>
                      <c:pt idx="90">
                        <c:v>101.67379352474039</c:v>
                      </c:pt>
                      <c:pt idx="91">
                        <c:v>101.74709835064142</c:v>
                      </c:pt>
                      <c:pt idx="92">
                        <c:v>101.23396456933415</c:v>
                      </c:pt>
                      <c:pt idx="93">
                        <c:v>100.42761148442271</c:v>
                      </c:pt>
                      <c:pt idx="94">
                        <c:v>100.70861331704336</c:v>
                      </c:pt>
                      <c:pt idx="95">
                        <c:v>100.54978619425776</c:v>
                      </c:pt>
                      <c:pt idx="96">
                        <c:v>101.1850946854001</c:v>
                      </c:pt>
                      <c:pt idx="97">
                        <c:v>101.12400733048256</c:v>
                      </c:pt>
                      <c:pt idx="98">
                        <c:v>100.6108735491753</c:v>
                      </c:pt>
                      <c:pt idx="99">
                        <c:v>100.51313378130723</c:v>
                      </c:pt>
                      <c:pt idx="100">
                        <c:v>99.951130116065954</c:v>
                      </c:pt>
                      <c:pt idx="101">
                        <c:v>100.34208918753815</c:v>
                      </c:pt>
                      <c:pt idx="102">
                        <c:v>99.902260232131923</c:v>
                      </c:pt>
                      <c:pt idx="103">
                        <c:v>100.28100183262062</c:v>
                      </c:pt>
                      <c:pt idx="104">
                        <c:v>100.01221747098349</c:v>
                      </c:pt>
                      <c:pt idx="105">
                        <c:v>99.706780696395839</c:v>
                      </c:pt>
                      <c:pt idx="106">
                        <c:v>100.19547953573611</c:v>
                      </c:pt>
                      <c:pt idx="107">
                        <c:v>100.1710445937691</c:v>
                      </c:pt>
                      <c:pt idx="108">
                        <c:v>100.1832620647526</c:v>
                      </c:pt>
                      <c:pt idx="109">
                        <c:v>99.902260232131951</c:v>
                      </c:pt>
                      <c:pt idx="110">
                        <c:v>100.02443494196702</c:v>
                      </c:pt>
                      <c:pt idx="111">
                        <c:v>100.03665241295052</c:v>
                      </c:pt>
                      <c:pt idx="112">
                        <c:v>100.73304825901039</c:v>
                      </c:pt>
                      <c:pt idx="113">
                        <c:v>100.40317654245571</c:v>
                      </c:pt>
                      <c:pt idx="114">
                        <c:v>100.21991447770311</c:v>
                      </c:pt>
                      <c:pt idx="115">
                        <c:v>100.35430665852169</c:v>
                      </c:pt>
                      <c:pt idx="116">
                        <c:v>100.29321930360415</c:v>
                      </c:pt>
                      <c:pt idx="117">
                        <c:v>100.36652412950518</c:v>
                      </c:pt>
                      <c:pt idx="118">
                        <c:v>100.89187538179596</c:v>
                      </c:pt>
                      <c:pt idx="119">
                        <c:v>100.79413561392791</c:v>
                      </c:pt>
                      <c:pt idx="120">
                        <c:v>100.73304825901039</c:v>
                      </c:pt>
                      <c:pt idx="121">
                        <c:v>101.85705558949297</c:v>
                      </c:pt>
                      <c:pt idx="122">
                        <c:v>102.57788637751985</c:v>
                      </c:pt>
                      <c:pt idx="123">
                        <c:v>102.98106291997556</c:v>
                      </c:pt>
                      <c:pt idx="124">
                        <c:v>102.51679902260231</c:v>
                      </c:pt>
                      <c:pt idx="125">
                        <c:v>102.30910201588271</c:v>
                      </c:pt>
                      <c:pt idx="126">
                        <c:v>102.43127672571778</c:v>
                      </c:pt>
                      <c:pt idx="127">
                        <c:v>102.37018937080025</c:v>
                      </c:pt>
                      <c:pt idx="128">
                        <c:v>102.34575442883323</c:v>
                      </c:pt>
                      <c:pt idx="129">
                        <c:v>102.43127672571778</c:v>
                      </c:pt>
                      <c:pt idx="130">
                        <c:v>102.67562614538791</c:v>
                      </c:pt>
                      <c:pt idx="131">
                        <c:v>103.02993280390959</c:v>
                      </c:pt>
                      <c:pt idx="132">
                        <c:v>103.07880268784361</c:v>
                      </c:pt>
                      <c:pt idx="133">
                        <c:v>102.94441050702504</c:v>
                      </c:pt>
                      <c:pt idx="134">
                        <c:v>102.96884544899206</c:v>
                      </c:pt>
                      <c:pt idx="135">
                        <c:v>103.31093463653025</c:v>
                      </c:pt>
                      <c:pt idx="136">
                        <c:v>103.6041539401344</c:v>
                      </c:pt>
                      <c:pt idx="137">
                        <c:v>103.13989004276115</c:v>
                      </c:pt>
                      <c:pt idx="138">
                        <c:v>102.87110568112401</c:v>
                      </c:pt>
                      <c:pt idx="139">
                        <c:v>102.99328039095906</c:v>
                      </c:pt>
                      <c:pt idx="140">
                        <c:v>103.72632864996945</c:v>
                      </c:pt>
                      <c:pt idx="141">
                        <c:v>103.20097739767867</c:v>
                      </c:pt>
                      <c:pt idx="142">
                        <c:v>103.39645693341478</c:v>
                      </c:pt>
                      <c:pt idx="143">
                        <c:v>103.4575442883323</c:v>
                      </c:pt>
                      <c:pt idx="144">
                        <c:v>103.51863164324983</c:v>
                      </c:pt>
                      <c:pt idx="145">
                        <c:v>103.68967623701892</c:v>
                      </c:pt>
                      <c:pt idx="146">
                        <c:v>103.56750152718385</c:v>
                      </c:pt>
                      <c:pt idx="147">
                        <c:v>103.78741600488698</c:v>
                      </c:pt>
                      <c:pt idx="148">
                        <c:v>103.76298106291996</c:v>
                      </c:pt>
                      <c:pt idx="149">
                        <c:v>103.50641417226632</c:v>
                      </c:pt>
                      <c:pt idx="150">
                        <c:v>103.38423946243125</c:v>
                      </c:pt>
                      <c:pt idx="151">
                        <c:v>103.13989004276112</c:v>
                      </c:pt>
                      <c:pt idx="152">
                        <c:v>102.74893097128893</c:v>
                      </c:pt>
                      <c:pt idx="153">
                        <c:v>102.90775809407452</c:v>
                      </c:pt>
                      <c:pt idx="154">
                        <c:v>102.91997556505802</c:v>
                      </c:pt>
                      <c:pt idx="155">
                        <c:v>102.98106291997554</c:v>
                      </c:pt>
                      <c:pt idx="156">
                        <c:v>103.20097739767866</c:v>
                      </c:pt>
                      <c:pt idx="157">
                        <c:v>103.22541233964567</c:v>
                      </c:pt>
                      <c:pt idx="158">
                        <c:v>103.860720830788</c:v>
                      </c:pt>
                      <c:pt idx="159">
                        <c:v>104.05620036652411</c:v>
                      </c:pt>
                      <c:pt idx="160">
                        <c:v>104.22724496029319</c:v>
                      </c:pt>
                      <c:pt idx="161">
                        <c:v>104.05620036652411</c:v>
                      </c:pt>
                      <c:pt idx="162">
                        <c:v>104.14172266340866</c:v>
                      </c:pt>
                      <c:pt idx="163">
                        <c:v>103.57971899816735</c:v>
                      </c:pt>
                      <c:pt idx="164">
                        <c:v>103.70189370800242</c:v>
                      </c:pt>
                      <c:pt idx="165">
                        <c:v>104.32498472816125</c:v>
                      </c:pt>
                      <c:pt idx="166">
                        <c:v>104.30054978619424</c:v>
                      </c:pt>
                      <c:pt idx="167">
                        <c:v>104.6182040317654</c:v>
                      </c:pt>
                      <c:pt idx="168">
                        <c:v>104.43494196701282</c:v>
                      </c:pt>
                      <c:pt idx="169">
                        <c:v>104.00733048259009</c:v>
                      </c:pt>
                      <c:pt idx="170">
                        <c:v>103.92180818570556</c:v>
                      </c:pt>
                      <c:pt idx="171">
                        <c:v>103.76298106291998</c:v>
                      </c:pt>
                      <c:pt idx="172">
                        <c:v>103.94624312767257</c:v>
                      </c:pt>
                      <c:pt idx="173">
                        <c:v>103.56750152718388</c:v>
                      </c:pt>
                      <c:pt idx="174">
                        <c:v>103.54306658521686</c:v>
                      </c:pt>
                      <c:pt idx="175">
                        <c:v>103.44532681734881</c:v>
                      </c:pt>
                      <c:pt idx="176">
                        <c:v>103.18875992669518</c:v>
                      </c:pt>
                      <c:pt idx="177">
                        <c:v>102.87110568112401</c:v>
                      </c:pt>
                      <c:pt idx="178">
                        <c:v>102.81001832620647</c:v>
                      </c:pt>
                      <c:pt idx="179">
                        <c:v>102.90775809407454</c:v>
                      </c:pt>
                      <c:pt idx="180">
                        <c:v>103.17654245571168</c:v>
                      </c:pt>
                      <c:pt idx="181">
                        <c:v>103.38423946243128</c:v>
                      </c:pt>
                      <c:pt idx="182">
                        <c:v>103.29871716554673</c:v>
                      </c:pt>
                      <c:pt idx="183">
                        <c:v>103.39645693341478</c:v>
                      </c:pt>
                      <c:pt idx="184">
                        <c:v>103.4331093463653</c:v>
                      </c:pt>
                      <c:pt idx="185">
                        <c:v>103.48197923029932</c:v>
                      </c:pt>
                      <c:pt idx="186">
                        <c:v>103.37202199144775</c:v>
                      </c:pt>
                      <c:pt idx="187">
                        <c:v>103.82406841783749</c:v>
                      </c:pt>
                      <c:pt idx="188">
                        <c:v>104.16615760537567</c:v>
                      </c:pt>
                      <c:pt idx="189">
                        <c:v>104.16615760537567</c:v>
                      </c:pt>
                      <c:pt idx="190">
                        <c:v>104.17837507635917</c:v>
                      </c:pt>
                      <c:pt idx="191">
                        <c:v>104.50824679291385</c:v>
                      </c:pt>
                      <c:pt idx="192">
                        <c:v>104.06841783750762</c:v>
                      </c:pt>
                      <c:pt idx="193">
                        <c:v>104.26389737324374</c:v>
                      </c:pt>
                      <c:pt idx="194">
                        <c:v>104.44715943799633</c:v>
                      </c:pt>
                      <c:pt idx="195">
                        <c:v>104.55711667684788</c:v>
                      </c:pt>
                      <c:pt idx="196">
                        <c:v>105.32681734880879</c:v>
                      </c:pt>
                      <c:pt idx="197">
                        <c:v>105.46120952962737</c:v>
                      </c:pt>
                      <c:pt idx="198">
                        <c:v>105.3390348197923</c:v>
                      </c:pt>
                      <c:pt idx="199">
                        <c:v>105.10690287110569</c:v>
                      </c:pt>
                      <c:pt idx="200">
                        <c:v>105.3268173488088</c:v>
                      </c:pt>
                      <c:pt idx="201">
                        <c:v>105.693341478314</c:v>
                      </c:pt>
                      <c:pt idx="202">
                        <c:v>105.74221136224803</c:v>
                      </c:pt>
                      <c:pt idx="203">
                        <c:v>105.58338423946243</c:v>
                      </c:pt>
                      <c:pt idx="204">
                        <c:v>105.75442883323154</c:v>
                      </c:pt>
                      <c:pt idx="205">
                        <c:v>105.94990836896766</c:v>
                      </c:pt>
                      <c:pt idx="206">
                        <c:v>105.37568723274286</c:v>
                      </c:pt>
                      <c:pt idx="207">
                        <c:v>105.33903481979233</c:v>
                      </c:pt>
                      <c:pt idx="208">
                        <c:v>105.30238240684182</c:v>
                      </c:pt>
                      <c:pt idx="209">
                        <c:v>105.20464263897377</c:v>
                      </c:pt>
                      <c:pt idx="210">
                        <c:v>104.99694563225417</c:v>
                      </c:pt>
                      <c:pt idx="211">
                        <c:v>104.83811850946857</c:v>
                      </c:pt>
                      <c:pt idx="212">
                        <c:v>105.0946854001222</c:v>
                      </c:pt>
                      <c:pt idx="213">
                        <c:v>104.86255345143557</c:v>
                      </c:pt>
                      <c:pt idx="214">
                        <c:v>105.22907758094077</c:v>
                      </c:pt>
                      <c:pt idx="215">
                        <c:v>105.35125229077583</c:v>
                      </c:pt>
                      <c:pt idx="216">
                        <c:v>105.2535125229078</c:v>
                      </c:pt>
                      <c:pt idx="217">
                        <c:v>104.56933414783144</c:v>
                      </c:pt>
                      <c:pt idx="218">
                        <c:v>105.64447159438001</c:v>
                      </c:pt>
                      <c:pt idx="219">
                        <c:v>105.25351252290781</c:v>
                      </c:pt>
                      <c:pt idx="220">
                        <c:v>105.49786194257796</c:v>
                      </c:pt>
                      <c:pt idx="221">
                        <c:v>105.19242516799028</c:v>
                      </c:pt>
                      <c:pt idx="222">
                        <c:v>105.72999389126457</c:v>
                      </c:pt>
                      <c:pt idx="223">
                        <c:v>105.60781918142951</c:v>
                      </c:pt>
                      <c:pt idx="224">
                        <c:v>105.41233964569341</c:v>
                      </c:pt>
                      <c:pt idx="225">
                        <c:v>105.36346976175939</c:v>
                      </c:pt>
                      <c:pt idx="226">
                        <c:v>106.40195479535744</c:v>
                      </c:pt>
                      <c:pt idx="227">
                        <c:v>106.68295662797809</c:v>
                      </c:pt>
                      <c:pt idx="228">
                        <c:v>106.67073915699457</c:v>
                      </c:pt>
                      <c:pt idx="229">
                        <c:v>107.44043982895548</c:v>
                      </c:pt>
                      <c:pt idx="230">
                        <c:v>107.90470372632872</c:v>
                      </c:pt>
                      <c:pt idx="231">
                        <c:v>107.92913866829574</c:v>
                      </c:pt>
                      <c:pt idx="232">
                        <c:v>107.42822235797198</c:v>
                      </c:pt>
                      <c:pt idx="233">
                        <c:v>108.21014050091641</c:v>
                      </c:pt>
                      <c:pt idx="234">
                        <c:v>108.71105681124017</c:v>
                      </c:pt>
                      <c:pt idx="235">
                        <c:v>108.60109957238862</c:v>
                      </c:pt>
                      <c:pt idx="236">
                        <c:v>109.08979841172888</c:v>
                      </c:pt>
                      <c:pt idx="237">
                        <c:v>108.99205864386083</c:v>
                      </c:pt>
                      <c:pt idx="238">
                        <c:v>107.91692119731226</c:v>
                      </c:pt>
                      <c:pt idx="239">
                        <c:v>108.18570555894941</c:v>
                      </c:pt>
                      <c:pt idx="240">
                        <c:v>107.74587660354318</c:v>
                      </c:pt>
                      <c:pt idx="241">
                        <c:v>107.91692119731226</c:v>
                      </c:pt>
                      <c:pt idx="242">
                        <c:v>108.08796579108136</c:v>
                      </c:pt>
                      <c:pt idx="243">
                        <c:v>107.95357361026279</c:v>
                      </c:pt>
                      <c:pt idx="244">
                        <c:v>108.23457544288345</c:v>
                      </c:pt>
                      <c:pt idx="245">
                        <c:v>108.41783750763605</c:v>
                      </c:pt>
                      <c:pt idx="246">
                        <c:v>107.70922419059269</c:v>
                      </c:pt>
                      <c:pt idx="247">
                        <c:v>108.17348808796592</c:v>
                      </c:pt>
                      <c:pt idx="248">
                        <c:v>107.97800855222984</c:v>
                      </c:pt>
                      <c:pt idx="249">
                        <c:v>108.2590103848505</c:v>
                      </c:pt>
                      <c:pt idx="250">
                        <c:v>108.49114233353711</c:v>
                      </c:pt>
                      <c:pt idx="251">
                        <c:v>108.22235797189997</c:v>
                      </c:pt>
                      <c:pt idx="252">
                        <c:v>107.81918142944424</c:v>
                      </c:pt>
                      <c:pt idx="253">
                        <c:v>108.6744043982897</c:v>
                      </c:pt>
                      <c:pt idx="254">
                        <c:v>108.32009773976803</c:v>
                      </c:pt>
                      <c:pt idx="255">
                        <c:v>108.24679291386698</c:v>
                      </c:pt>
                      <c:pt idx="256">
                        <c:v>107.85583384239477</c:v>
                      </c:pt>
                      <c:pt idx="257">
                        <c:v>107.83139890042777</c:v>
                      </c:pt>
                      <c:pt idx="258">
                        <c:v>107.91692119731229</c:v>
                      </c:pt>
                      <c:pt idx="259">
                        <c:v>107.83139890042776</c:v>
                      </c:pt>
                      <c:pt idx="260">
                        <c:v>107.99022602321332</c:v>
                      </c:pt>
                      <c:pt idx="261">
                        <c:v>107.62370189370813</c:v>
                      </c:pt>
                      <c:pt idx="262">
                        <c:v>107.86805131337825</c:v>
                      </c:pt>
                      <c:pt idx="263">
                        <c:v>107.4404398289555</c:v>
                      </c:pt>
                    </c:numCache>
                  </c:numRef>
                </c:val>
                <c:smooth val="0"/>
                <c:extLst xmlns:c15="http://schemas.microsoft.com/office/drawing/2012/chart">
                  <c:ext xmlns:c16="http://schemas.microsoft.com/office/drawing/2014/chart" uri="{C3380CC4-5D6E-409C-BE32-E72D297353CC}">
                    <c16:uniqueId val="{00000009-610E-4E11-9B96-CB188C2DFCB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'Currency Chart'!$X$5</c15:sqref>
                        </c15:formulaRef>
                      </c:ext>
                    </c:extLst>
                    <c:strCache>
                      <c:ptCount val="1"/>
                      <c:pt idx="0">
                        <c:v>Yen</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Chart'!$X$6:$X$291</c15:sqref>
                        </c15:formulaRef>
                      </c:ext>
                    </c:extLst>
                    <c:numCache>
                      <c:formatCode>0</c:formatCode>
                      <c:ptCount val="286"/>
                      <c:pt idx="0" formatCode="General">
                        <c:v>100</c:v>
                      </c:pt>
                      <c:pt idx="1">
                        <c:v>99.961255327392493</c:v>
                      </c:pt>
                      <c:pt idx="2">
                        <c:v>99.86439364587369</c:v>
                      </c:pt>
                      <c:pt idx="3">
                        <c:v>99.496319256102296</c:v>
                      </c:pt>
                      <c:pt idx="4">
                        <c:v>99.806276636962437</c:v>
                      </c:pt>
                      <c:pt idx="5">
                        <c:v>100.54242541650525</c:v>
                      </c:pt>
                      <c:pt idx="6">
                        <c:v>100.66834560247969</c:v>
                      </c:pt>
                      <c:pt idx="7">
                        <c:v>100.96861681518794</c:v>
                      </c:pt>
                      <c:pt idx="8">
                        <c:v>100.49399457574587</c:v>
                      </c:pt>
                      <c:pt idx="9">
                        <c:v>100.59085625726465</c:v>
                      </c:pt>
                      <c:pt idx="10">
                        <c:v>100.53273924835338</c:v>
                      </c:pt>
                      <c:pt idx="11">
                        <c:v>100.61022859356841</c:v>
                      </c:pt>
                      <c:pt idx="12">
                        <c:v>100.43587756683458</c:v>
                      </c:pt>
                      <c:pt idx="13">
                        <c:v>100.62960092987215</c:v>
                      </c:pt>
                      <c:pt idx="14">
                        <c:v>100.27121270825262</c:v>
                      </c:pt>
                      <c:pt idx="15">
                        <c:v>100.23246803564511</c:v>
                      </c:pt>
                      <c:pt idx="16">
                        <c:v>100.51336691204961</c:v>
                      </c:pt>
                      <c:pt idx="17">
                        <c:v>100.4746222394421</c:v>
                      </c:pt>
                      <c:pt idx="18">
                        <c:v>100.34870205346766</c:v>
                      </c:pt>
                      <c:pt idx="19">
                        <c:v>100.82332429290975</c:v>
                      </c:pt>
                      <c:pt idx="20">
                        <c:v>100.93955831073228</c:v>
                      </c:pt>
                      <c:pt idx="21">
                        <c:v>101.39480821387062</c:v>
                      </c:pt>
                      <c:pt idx="22">
                        <c:v>101.61759008136382</c:v>
                      </c:pt>
                      <c:pt idx="23">
                        <c:v>101.67570709027508</c:v>
                      </c:pt>
                      <c:pt idx="24">
                        <c:v>101.71445176288262</c:v>
                      </c:pt>
                      <c:pt idx="25">
                        <c:v>102.22781867493222</c:v>
                      </c:pt>
                      <c:pt idx="26">
                        <c:v>102.05346764819839</c:v>
                      </c:pt>
                      <c:pt idx="27">
                        <c:v>101.91786129407208</c:v>
                      </c:pt>
                      <c:pt idx="28">
                        <c:v>101.28826036419993</c:v>
                      </c:pt>
                      <c:pt idx="29">
                        <c:v>101.28826036419993</c:v>
                      </c:pt>
                      <c:pt idx="30">
                        <c:v>101.43355288647813</c:v>
                      </c:pt>
                      <c:pt idx="31">
                        <c:v>101.6369624176676</c:v>
                      </c:pt>
                      <c:pt idx="32">
                        <c:v>102.05346764819839</c:v>
                      </c:pt>
                      <c:pt idx="33">
                        <c:v>102.71212708252617</c:v>
                      </c:pt>
                      <c:pt idx="34">
                        <c:v>102.52808988764046</c:v>
                      </c:pt>
                      <c:pt idx="35">
                        <c:v>102.34405269275477</c:v>
                      </c:pt>
                      <c:pt idx="36">
                        <c:v>102.12127082526156</c:v>
                      </c:pt>
                      <c:pt idx="37">
                        <c:v>102.12127082526156</c:v>
                      </c:pt>
                      <c:pt idx="38">
                        <c:v>101.76288260364203</c:v>
                      </c:pt>
                      <c:pt idx="39">
                        <c:v>101.93723363037584</c:v>
                      </c:pt>
                      <c:pt idx="40">
                        <c:v>102.53777605579235</c:v>
                      </c:pt>
                      <c:pt idx="41">
                        <c:v>102.87679194110811</c:v>
                      </c:pt>
                      <c:pt idx="42">
                        <c:v>103.23518016272764</c:v>
                      </c:pt>
                      <c:pt idx="43">
                        <c:v>103.39984502130959</c:v>
                      </c:pt>
                      <c:pt idx="44">
                        <c:v>103.32235567609456</c:v>
                      </c:pt>
                      <c:pt idx="45">
                        <c:v>103.63231305695469</c:v>
                      </c:pt>
                      <c:pt idx="46">
                        <c:v>104.58155753583884</c:v>
                      </c:pt>
                      <c:pt idx="47">
                        <c:v>104.93994575745837</c:v>
                      </c:pt>
                      <c:pt idx="48">
                        <c:v>105.44362650135609</c:v>
                      </c:pt>
                      <c:pt idx="49">
                        <c:v>105.05617977528092</c:v>
                      </c:pt>
                      <c:pt idx="50">
                        <c:v>104.9786904300659</c:v>
                      </c:pt>
                      <c:pt idx="51">
                        <c:v>105.08523827973657</c:v>
                      </c:pt>
                      <c:pt idx="52">
                        <c:v>105.5792328554824</c:v>
                      </c:pt>
                      <c:pt idx="53">
                        <c:v>105.69546687330495</c:v>
                      </c:pt>
                      <c:pt idx="54">
                        <c:v>105.55986051917864</c:v>
                      </c:pt>
                      <c:pt idx="55">
                        <c:v>105.41456799690046</c:v>
                      </c:pt>
                      <c:pt idx="56">
                        <c:v>105.46299883765987</c:v>
                      </c:pt>
                      <c:pt idx="57">
                        <c:v>105.45331266950799</c:v>
                      </c:pt>
                      <c:pt idx="58">
                        <c:v>105.41456799690047</c:v>
                      </c:pt>
                      <c:pt idx="59">
                        <c:v>105.15304145679974</c:v>
                      </c:pt>
                      <c:pt idx="60">
                        <c:v>105.3080201472298</c:v>
                      </c:pt>
                      <c:pt idx="61">
                        <c:v>105.74389771406437</c:v>
                      </c:pt>
                      <c:pt idx="62">
                        <c:v>106.19914761720268</c:v>
                      </c:pt>
                      <c:pt idx="63">
                        <c:v>106.33475397132899</c:v>
                      </c:pt>
                      <c:pt idx="64">
                        <c:v>106.87717938783423</c:v>
                      </c:pt>
                      <c:pt idx="65">
                        <c:v>107.22588144130188</c:v>
                      </c:pt>
                      <c:pt idx="66">
                        <c:v>107.12901975978308</c:v>
                      </c:pt>
                      <c:pt idx="67">
                        <c:v>107.23556760945375</c:v>
                      </c:pt>
                      <c:pt idx="68">
                        <c:v>106.71251452925229</c:v>
                      </c:pt>
                      <c:pt idx="69">
                        <c:v>106.29600929872149</c:v>
                      </c:pt>
                      <c:pt idx="70">
                        <c:v>106.39287098024029</c:v>
                      </c:pt>
                      <c:pt idx="71">
                        <c:v>105.81170089112753</c:v>
                      </c:pt>
                      <c:pt idx="72">
                        <c:v>106.20883378535459</c:v>
                      </c:pt>
                      <c:pt idx="73">
                        <c:v>105.93762107710197</c:v>
                      </c:pt>
                      <c:pt idx="74">
                        <c:v>105.62766369624183</c:v>
                      </c:pt>
                      <c:pt idx="75">
                        <c:v>105.49205734211552</c:v>
                      </c:pt>
                      <c:pt idx="76">
                        <c:v>105.32739248353357</c:v>
                      </c:pt>
                      <c:pt idx="77">
                        <c:v>105.35645098798922</c:v>
                      </c:pt>
                      <c:pt idx="78">
                        <c:v>104.75590856257273</c:v>
                      </c:pt>
                      <c:pt idx="79">
                        <c:v>104.68810538550956</c:v>
                      </c:pt>
                      <c:pt idx="80">
                        <c:v>104.65904688105392</c:v>
                      </c:pt>
                      <c:pt idx="81">
                        <c:v>104.57187136768701</c:v>
                      </c:pt>
                      <c:pt idx="82">
                        <c:v>104.52344052692762</c:v>
                      </c:pt>
                      <c:pt idx="83">
                        <c:v>104.52344052692762</c:v>
                      </c:pt>
                      <c:pt idx="84">
                        <c:v>104.68810538550956</c:v>
                      </c:pt>
                      <c:pt idx="85">
                        <c:v>105.26927547462232</c:v>
                      </c:pt>
                      <c:pt idx="86">
                        <c:v>105.1820999612554</c:v>
                      </c:pt>
                      <c:pt idx="87">
                        <c:v>105.49205734211553</c:v>
                      </c:pt>
                      <c:pt idx="88">
                        <c:v>105.84075939558318</c:v>
                      </c:pt>
                      <c:pt idx="89">
                        <c:v>105.63734986439371</c:v>
                      </c:pt>
                      <c:pt idx="90">
                        <c:v>105.89887640449444</c:v>
                      </c:pt>
                      <c:pt idx="91">
                        <c:v>105.75358388221626</c:v>
                      </c:pt>
                      <c:pt idx="92">
                        <c:v>105.65672220069746</c:v>
                      </c:pt>
                      <c:pt idx="93">
                        <c:v>105.19178612940726</c:v>
                      </c:pt>
                      <c:pt idx="94">
                        <c:v>105.36613715614111</c:v>
                      </c:pt>
                      <c:pt idx="95">
                        <c:v>105.20147229755916</c:v>
                      </c:pt>
                      <c:pt idx="96">
                        <c:v>106.2088337853546</c:v>
                      </c:pt>
                      <c:pt idx="97">
                        <c:v>106.01511042231701</c:v>
                      </c:pt>
                      <c:pt idx="98">
                        <c:v>105.90856257264633</c:v>
                      </c:pt>
                      <c:pt idx="99">
                        <c:v>105.76327005036813</c:v>
                      </c:pt>
                      <c:pt idx="100">
                        <c:v>105.46299883765988</c:v>
                      </c:pt>
                      <c:pt idx="101">
                        <c:v>105.7826423866719</c:v>
                      </c:pt>
                      <c:pt idx="102">
                        <c:v>105.33707865168546</c:v>
                      </c:pt>
                      <c:pt idx="103">
                        <c:v>105.52111584657116</c:v>
                      </c:pt>
                      <c:pt idx="104">
                        <c:v>105.32739248353357</c:v>
                      </c:pt>
                      <c:pt idx="105">
                        <c:v>105.34676481983735</c:v>
                      </c:pt>
                      <c:pt idx="106">
                        <c:v>105.71483920960874</c:v>
                      </c:pt>
                      <c:pt idx="107">
                        <c:v>106.35412630763277</c:v>
                      </c:pt>
                      <c:pt idx="108">
                        <c:v>106.36381247578464</c:v>
                      </c:pt>
                      <c:pt idx="109">
                        <c:v>106.10228593568391</c:v>
                      </c:pt>
                      <c:pt idx="110">
                        <c:v>106.01511042231699</c:v>
                      </c:pt>
                      <c:pt idx="111">
                        <c:v>106.10228593568391</c:v>
                      </c:pt>
                      <c:pt idx="112">
                        <c:v>106.81906237892296</c:v>
                      </c:pt>
                      <c:pt idx="113">
                        <c:v>106.05385509492451</c:v>
                      </c:pt>
                      <c:pt idx="114">
                        <c:v>105.81170089112753</c:v>
                      </c:pt>
                      <c:pt idx="115">
                        <c:v>106.0538550949245</c:v>
                      </c:pt>
                      <c:pt idx="116">
                        <c:v>106.17008911274705</c:v>
                      </c:pt>
                      <c:pt idx="117">
                        <c:v>105.87950406819068</c:v>
                      </c:pt>
                      <c:pt idx="118">
                        <c:v>106.20883378535457</c:v>
                      </c:pt>
                      <c:pt idx="119">
                        <c:v>106.60596667958163</c:v>
                      </c:pt>
                      <c:pt idx="120">
                        <c:v>106.61565284773351</c:v>
                      </c:pt>
                      <c:pt idx="121">
                        <c:v>107.21619527315003</c:v>
                      </c:pt>
                      <c:pt idx="122">
                        <c:v>106.74157303370797</c:v>
                      </c:pt>
                      <c:pt idx="123">
                        <c:v>106.73188686555608</c:v>
                      </c:pt>
                      <c:pt idx="124">
                        <c:v>106.83843471522675</c:v>
                      </c:pt>
                      <c:pt idx="125">
                        <c:v>107.16776443239064</c:v>
                      </c:pt>
                      <c:pt idx="126">
                        <c:v>107.45834947694701</c:v>
                      </c:pt>
                      <c:pt idx="127">
                        <c:v>107.38086013173198</c:v>
                      </c:pt>
                      <c:pt idx="128">
                        <c:v>107.29368461836506</c:v>
                      </c:pt>
                      <c:pt idx="129">
                        <c:v>107.14839209608688</c:v>
                      </c:pt>
                      <c:pt idx="130">
                        <c:v>107.03215807826432</c:v>
                      </c:pt>
                      <c:pt idx="131">
                        <c:v>107.61332816737706</c:v>
                      </c:pt>
                      <c:pt idx="132">
                        <c:v>108.00077489345225</c:v>
                      </c:pt>
                      <c:pt idx="133">
                        <c:v>107.55521115846581</c:v>
                      </c:pt>
                      <c:pt idx="134">
                        <c:v>107.47772181325077</c:v>
                      </c:pt>
                      <c:pt idx="135">
                        <c:v>107.12901975978312</c:v>
                      </c:pt>
                      <c:pt idx="136">
                        <c:v>107.17745060054253</c:v>
                      </c:pt>
                      <c:pt idx="137">
                        <c:v>106.34444013948092</c:v>
                      </c:pt>
                      <c:pt idx="138">
                        <c:v>106.68345602479668</c:v>
                      </c:pt>
                      <c:pt idx="139">
                        <c:v>106.88686555598613</c:v>
                      </c:pt>
                      <c:pt idx="140">
                        <c:v>107.13870592793499</c:v>
                      </c:pt>
                      <c:pt idx="141">
                        <c:v>106.53816350251849</c:v>
                      </c:pt>
                      <c:pt idx="142">
                        <c:v>106.41224331654406</c:v>
                      </c:pt>
                      <c:pt idx="143">
                        <c:v>106.6253390158854</c:v>
                      </c:pt>
                      <c:pt idx="144">
                        <c:v>106.00542425416513</c:v>
                      </c:pt>
                      <c:pt idx="145">
                        <c:v>106.39287098024032</c:v>
                      </c:pt>
                      <c:pt idx="146">
                        <c:v>106.80937621077112</c:v>
                      </c:pt>
                      <c:pt idx="147">
                        <c:v>106.6834560247967</c:v>
                      </c:pt>
                      <c:pt idx="148">
                        <c:v>107.07090275087187</c:v>
                      </c:pt>
                      <c:pt idx="149">
                        <c:v>106.87717938783429</c:v>
                      </c:pt>
                      <c:pt idx="150">
                        <c:v>106.31538163502529</c:v>
                      </c:pt>
                      <c:pt idx="151">
                        <c:v>106.45098798915159</c:v>
                      </c:pt>
                      <c:pt idx="152">
                        <c:v>106.0247965904689</c:v>
                      </c:pt>
                      <c:pt idx="153">
                        <c:v>106.25726462611399</c:v>
                      </c:pt>
                      <c:pt idx="154">
                        <c:v>105.85044556373508</c:v>
                      </c:pt>
                      <c:pt idx="155">
                        <c:v>105.61797752808998</c:v>
                      </c:pt>
                      <c:pt idx="156">
                        <c:v>106.03448275862077</c:v>
                      </c:pt>
                      <c:pt idx="157">
                        <c:v>106.2960092987215</c:v>
                      </c:pt>
                      <c:pt idx="158">
                        <c:v>106.79000387446733</c:v>
                      </c:pt>
                      <c:pt idx="159">
                        <c:v>106.81906237892296</c:v>
                      </c:pt>
                      <c:pt idx="160">
                        <c:v>107.09027508717558</c:v>
                      </c:pt>
                      <c:pt idx="161">
                        <c:v>106.93529639674553</c:v>
                      </c:pt>
                      <c:pt idx="162">
                        <c:v>106.91592406044175</c:v>
                      </c:pt>
                      <c:pt idx="163">
                        <c:v>106.13134444013954</c:v>
                      </c:pt>
                      <c:pt idx="164">
                        <c:v>105.80201472297566</c:v>
                      </c:pt>
                      <c:pt idx="165">
                        <c:v>106.13134444013953</c:v>
                      </c:pt>
                      <c:pt idx="166">
                        <c:v>106.29600929872146</c:v>
                      </c:pt>
                      <c:pt idx="167">
                        <c:v>106.2766369624177</c:v>
                      </c:pt>
                      <c:pt idx="168">
                        <c:v>106.35412630763273</c:v>
                      </c:pt>
                      <c:pt idx="169">
                        <c:v>106.23789228981019</c:v>
                      </c:pt>
                      <c:pt idx="170">
                        <c:v>106.17977528089892</c:v>
                      </c:pt>
                      <c:pt idx="171">
                        <c:v>106.53816350251843</c:v>
                      </c:pt>
                      <c:pt idx="172">
                        <c:v>106.61565284773347</c:v>
                      </c:pt>
                      <c:pt idx="173">
                        <c:v>106.3734986439365</c:v>
                      </c:pt>
                      <c:pt idx="174">
                        <c:v>106.4703603254553</c:v>
                      </c:pt>
                      <c:pt idx="175">
                        <c:v>106.56722200697411</c:v>
                      </c:pt>
                      <c:pt idx="176">
                        <c:v>106.53816350251847</c:v>
                      </c:pt>
                      <c:pt idx="177">
                        <c:v>106.47036032545533</c:v>
                      </c:pt>
                      <c:pt idx="178">
                        <c:v>106.28632313056963</c:v>
                      </c:pt>
                      <c:pt idx="179">
                        <c:v>106.38318481208842</c:v>
                      </c:pt>
                      <c:pt idx="180">
                        <c:v>106.80937621077109</c:v>
                      </c:pt>
                      <c:pt idx="181">
                        <c:v>106.77063153816358</c:v>
                      </c:pt>
                      <c:pt idx="182">
                        <c:v>106.25726462611399</c:v>
                      </c:pt>
                      <c:pt idx="183">
                        <c:v>106.4800464936072</c:v>
                      </c:pt>
                      <c:pt idx="184">
                        <c:v>106.5284773343666</c:v>
                      </c:pt>
                      <c:pt idx="185">
                        <c:v>106.22820612165835</c:v>
                      </c:pt>
                      <c:pt idx="186">
                        <c:v>105.92793490895009</c:v>
                      </c:pt>
                      <c:pt idx="187">
                        <c:v>106.25726462611398</c:v>
                      </c:pt>
                      <c:pt idx="188">
                        <c:v>106.50910499806284</c:v>
                      </c:pt>
                      <c:pt idx="189">
                        <c:v>105.95699341340574</c:v>
                      </c:pt>
                      <c:pt idx="190">
                        <c:v>105.78264238667191</c:v>
                      </c:pt>
                      <c:pt idx="191">
                        <c:v>106.33475397132904</c:v>
                      </c:pt>
                      <c:pt idx="192">
                        <c:v>106.83843471522674</c:v>
                      </c:pt>
                      <c:pt idx="193">
                        <c:v>107.24525377760565</c:v>
                      </c:pt>
                      <c:pt idx="194">
                        <c:v>107.51646648585827</c:v>
                      </c:pt>
                      <c:pt idx="195">
                        <c:v>108.00077489345223</c:v>
                      </c:pt>
                      <c:pt idx="196">
                        <c:v>108.44633862843867</c:v>
                      </c:pt>
                      <c:pt idx="197">
                        <c:v>107.77799302595901</c:v>
                      </c:pt>
                      <c:pt idx="198">
                        <c:v>107.56489732661767</c:v>
                      </c:pt>
                      <c:pt idx="199">
                        <c:v>107.39054629988385</c:v>
                      </c:pt>
                      <c:pt idx="200">
                        <c:v>107.95234405269284</c:v>
                      </c:pt>
                      <c:pt idx="201">
                        <c:v>107.91359938008532</c:v>
                      </c:pt>
                      <c:pt idx="202">
                        <c:v>108.08795040681915</c:v>
                      </c:pt>
                      <c:pt idx="203">
                        <c:v>108.69817900038753</c:v>
                      </c:pt>
                      <c:pt idx="204">
                        <c:v>109.74428516079048</c:v>
                      </c:pt>
                      <c:pt idx="205">
                        <c:v>110.03487020534686</c:v>
                      </c:pt>
                      <c:pt idx="206">
                        <c:v>109.67648198372734</c:v>
                      </c:pt>
                      <c:pt idx="207">
                        <c:v>110.09298721425813</c:v>
                      </c:pt>
                      <c:pt idx="208">
                        <c:v>110.61604029445959</c:v>
                      </c:pt>
                      <c:pt idx="209">
                        <c:v>110.72258814413026</c:v>
                      </c:pt>
                      <c:pt idx="210">
                        <c:v>110.77101898488965</c:v>
                      </c:pt>
                      <c:pt idx="211">
                        <c:v>110.67415730337086</c:v>
                      </c:pt>
                      <c:pt idx="212">
                        <c:v>110.39325842696636</c:v>
                      </c:pt>
                      <c:pt idx="213">
                        <c:v>109.89926385122051</c:v>
                      </c:pt>
                      <c:pt idx="214">
                        <c:v>110.13173188686561</c:v>
                      </c:pt>
                      <c:pt idx="215">
                        <c:v>110.55792328554828</c:v>
                      </c:pt>
                      <c:pt idx="216">
                        <c:v>110.23827973653627</c:v>
                      </c:pt>
                      <c:pt idx="217">
                        <c:v>109.99612553273928</c:v>
                      </c:pt>
                      <c:pt idx="218">
                        <c:v>110.42231693142196</c:v>
                      </c:pt>
                      <c:pt idx="219">
                        <c:v>110.40294459511821</c:v>
                      </c:pt>
                      <c:pt idx="220">
                        <c:v>110.37388609066258</c:v>
                      </c:pt>
                      <c:pt idx="221">
                        <c:v>110.40294459511823</c:v>
                      </c:pt>
                      <c:pt idx="222">
                        <c:v>110.180162727625</c:v>
                      </c:pt>
                      <c:pt idx="223">
                        <c:v>109.84114684230924</c:v>
                      </c:pt>
                      <c:pt idx="224">
                        <c:v>109.66679581557541</c:v>
                      </c:pt>
                      <c:pt idx="225">
                        <c:v>109.30840759395589</c:v>
                      </c:pt>
                      <c:pt idx="226">
                        <c:v>110.3254552499032</c:v>
                      </c:pt>
                      <c:pt idx="227">
                        <c:v>110.47074777218138</c:v>
                      </c:pt>
                      <c:pt idx="228">
                        <c:v>110.27702440914379</c:v>
                      </c:pt>
                      <c:pt idx="229">
                        <c:v>110.53855094924452</c:v>
                      </c:pt>
                      <c:pt idx="230">
                        <c:v>111.21658271987604</c:v>
                      </c:pt>
                      <c:pt idx="231">
                        <c:v>110.4901201084851</c:v>
                      </c:pt>
                      <c:pt idx="232">
                        <c:v>110.65478496706706</c:v>
                      </c:pt>
                      <c:pt idx="233">
                        <c:v>110.40294459511821</c:v>
                      </c:pt>
                      <c:pt idx="234">
                        <c:v>111.25532739248358</c:v>
                      </c:pt>
                      <c:pt idx="235">
                        <c:v>111.50716776443242</c:v>
                      </c:pt>
                      <c:pt idx="236">
                        <c:v>111.78806664083692</c:v>
                      </c:pt>
                      <c:pt idx="237">
                        <c:v>111.72994963192563</c:v>
                      </c:pt>
                      <c:pt idx="238">
                        <c:v>109.7539713289423</c:v>
                      </c:pt>
                      <c:pt idx="239">
                        <c:v>109.95738086013175</c:v>
                      </c:pt>
                      <c:pt idx="240">
                        <c:v>109.57962030220847</c:v>
                      </c:pt>
                      <c:pt idx="241">
                        <c:v>109.21154591243706</c:v>
                      </c:pt>
                      <c:pt idx="242">
                        <c:v>109.59899263851224</c:v>
                      </c:pt>
                      <c:pt idx="243">
                        <c:v>109.25997675319647</c:v>
                      </c:pt>
                      <c:pt idx="244">
                        <c:v>109.8992638512205</c:v>
                      </c:pt>
                      <c:pt idx="245">
                        <c:v>110.00581170089116</c:v>
                      </c:pt>
                      <c:pt idx="246">
                        <c:v>110.09298721425807</c:v>
                      </c:pt>
                      <c:pt idx="247">
                        <c:v>109.87989151491674</c:v>
                      </c:pt>
                      <c:pt idx="248">
                        <c:v>109.82177450600545</c:v>
                      </c:pt>
                      <c:pt idx="249">
                        <c:v>109.99612553273927</c:v>
                      </c:pt>
                      <c:pt idx="250">
                        <c:v>110.14141805501745</c:v>
                      </c:pt>
                      <c:pt idx="251">
                        <c:v>110.44168926772571</c:v>
                      </c:pt>
                      <c:pt idx="252">
                        <c:v>110.13173188686558</c:v>
                      </c:pt>
                      <c:pt idx="253">
                        <c:v>110.10267338240995</c:v>
                      </c:pt>
                      <c:pt idx="254">
                        <c:v>110.01549786904303</c:v>
                      </c:pt>
                      <c:pt idx="255">
                        <c:v>110.49980627663697</c:v>
                      </c:pt>
                      <c:pt idx="256">
                        <c:v>110.52886478109261</c:v>
                      </c:pt>
                      <c:pt idx="257">
                        <c:v>110.78070515304148</c:v>
                      </c:pt>
                      <c:pt idx="258">
                        <c:v>110.81944982564899</c:v>
                      </c:pt>
                      <c:pt idx="259">
                        <c:v>111.2262688880279</c:v>
                      </c:pt>
                      <c:pt idx="260">
                        <c:v>111.20689655172416</c:v>
                      </c:pt>
                      <c:pt idx="261">
                        <c:v>111.33281673769859</c:v>
                      </c:pt>
                      <c:pt idx="262">
                        <c:v>111.44905075552114</c:v>
                      </c:pt>
                      <c:pt idx="263">
                        <c:v>111.46842309182489</c:v>
                      </c:pt>
                    </c:numCache>
                  </c:numRef>
                </c:val>
                <c:smooth val="0"/>
                <c:extLst xmlns:c15="http://schemas.microsoft.com/office/drawing/2012/chart">
                  <c:ext xmlns:c16="http://schemas.microsoft.com/office/drawing/2014/chart" uri="{C3380CC4-5D6E-409C-BE32-E72D297353CC}">
                    <c16:uniqueId val="{0000000A-610E-4E11-9B96-CB188C2DFCB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'Currency Chart'!$Y$5</c15:sqref>
                        </c15:formulaRef>
                      </c:ext>
                    </c:extLst>
                    <c:strCache>
                      <c:ptCount val="1"/>
                      <c:pt idx="0">
                        <c:v>Swiss Franc</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44196</c:v>
                      </c:pt>
                      <c:pt idx="1">
                        <c:v>44197</c:v>
                      </c:pt>
                      <c:pt idx="2">
                        <c:v>44200</c:v>
                      </c:pt>
                      <c:pt idx="3">
                        <c:v>44201</c:v>
                      </c:pt>
                      <c:pt idx="4">
                        <c:v>44202</c:v>
                      </c:pt>
                      <c:pt idx="5">
                        <c:v>44203</c:v>
                      </c:pt>
                      <c:pt idx="6">
                        <c:v>44204</c:v>
                      </c:pt>
                      <c:pt idx="7">
                        <c:v>44207</c:v>
                      </c:pt>
                      <c:pt idx="8">
                        <c:v>44208</c:v>
                      </c:pt>
                      <c:pt idx="9">
                        <c:v>44209</c:v>
                      </c:pt>
                      <c:pt idx="10">
                        <c:v>44210</c:v>
                      </c:pt>
                      <c:pt idx="11">
                        <c:v>44211</c:v>
                      </c:pt>
                      <c:pt idx="12">
                        <c:v>44214</c:v>
                      </c:pt>
                      <c:pt idx="13">
                        <c:v>44215</c:v>
                      </c:pt>
                      <c:pt idx="14">
                        <c:v>44216</c:v>
                      </c:pt>
                      <c:pt idx="15">
                        <c:v>44217</c:v>
                      </c:pt>
                      <c:pt idx="16">
                        <c:v>44218</c:v>
                      </c:pt>
                      <c:pt idx="17">
                        <c:v>44221</c:v>
                      </c:pt>
                      <c:pt idx="18">
                        <c:v>44222</c:v>
                      </c:pt>
                      <c:pt idx="19">
                        <c:v>44223</c:v>
                      </c:pt>
                      <c:pt idx="20">
                        <c:v>44224</c:v>
                      </c:pt>
                      <c:pt idx="21">
                        <c:v>44225</c:v>
                      </c:pt>
                      <c:pt idx="22">
                        <c:v>44228</c:v>
                      </c:pt>
                      <c:pt idx="23">
                        <c:v>44229</c:v>
                      </c:pt>
                      <c:pt idx="24">
                        <c:v>44230</c:v>
                      </c:pt>
                      <c:pt idx="25">
                        <c:v>44231</c:v>
                      </c:pt>
                      <c:pt idx="26">
                        <c:v>44232</c:v>
                      </c:pt>
                      <c:pt idx="27">
                        <c:v>44235</c:v>
                      </c:pt>
                      <c:pt idx="28">
                        <c:v>44236</c:v>
                      </c:pt>
                      <c:pt idx="29">
                        <c:v>44237</c:v>
                      </c:pt>
                      <c:pt idx="30">
                        <c:v>44238</c:v>
                      </c:pt>
                      <c:pt idx="31">
                        <c:v>44239</c:v>
                      </c:pt>
                      <c:pt idx="32">
                        <c:v>44242</c:v>
                      </c:pt>
                      <c:pt idx="33">
                        <c:v>44243</c:v>
                      </c:pt>
                      <c:pt idx="34">
                        <c:v>44244</c:v>
                      </c:pt>
                      <c:pt idx="35">
                        <c:v>44245</c:v>
                      </c:pt>
                      <c:pt idx="36">
                        <c:v>44246</c:v>
                      </c:pt>
                      <c:pt idx="37">
                        <c:v>44247</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44311</c:v>
                      </c:pt>
                      <c:pt idx="84">
                        <c:v>44312</c:v>
                      </c:pt>
                      <c:pt idx="85">
                        <c:v>44313</c:v>
                      </c:pt>
                      <c:pt idx="86">
                        <c:v>44314</c:v>
                      </c:pt>
                      <c:pt idx="87">
                        <c:v>44315</c:v>
                      </c:pt>
                      <c:pt idx="88">
                        <c:v>44316</c:v>
                      </c:pt>
                      <c:pt idx="89">
                        <c:v>44319</c:v>
                      </c:pt>
                      <c:pt idx="90">
                        <c:v>44320</c:v>
                      </c:pt>
                      <c:pt idx="91">
                        <c:v>44321</c:v>
                      </c:pt>
                      <c:pt idx="92">
                        <c:v>44322</c:v>
                      </c:pt>
                      <c:pt idx="93">
                        <c:v>44323</c:v>
                      </c:pt>
                      <c:pt idx="94">
                        <c:v>44326</c:v>
                      </c:pt>
                      <c:pt idx="95">
                        <c:v>44327</c:v>
                      </c:pt>
                      <c:pt idx="96">
                        <c:v>44328</c:v>
                      </c:pt>
                      <c:pt idx="97">
                        <c:v>44329</c:v>
                      </c:pt>
                      <c:pt idx="98">
                        <c:v>44330</c:v>
                      </c:pt>
                      <c:pt idx="99">
                        <c:v>44333</c:v>
                      </c:pt>
                      <c:pt idx="100">
                        <c:v>44334</c:v>
                      </c:pt>
                      <c:pt idx="101">
                        <c:v>44335</c:v>
                      </c:pt>
                      <c:pt idx="102">
                        <c:v>44336</c:v>
                      </c:pt>
                      <c:pt idx="103">
                        <c:v>44337</c:v>
                      </c:pt>
                      <c:pt idx="104">
                        <c:v>44340</c:v>
                      </c:pt>
                      <c:pt idx="105">
                        <c:v>44341</c:v>
                      </c:pt>
                      <c:pt idx="106">
                        <c:v>44342</c:v>
                      </c:pt>
                      <c:pt idx="107">
                        <c:v>44343</c:v>
                      </c:pt>
                      <c:pt idx="108">
                        <c:v>44344</c:v>
                      </c:pt>
                      <c:pt idx="109">
                        <c:v>44347</c:v>
                      </c:pt>
                      <c:pt idx="110">
                        <c:v>44348</c:v>
                      </c:pt>
                      <c:pt idx="111">
                        <c:v>44349</c:v>
                      </c:pt>
                      <c:pt idx="112">
                        <c:v>44350</c:v>
                      </c:pt>
                      <c:pt idx="113">
                        <c:v>44351</c:v>
                      </c:pt>
                      <c:pt idx="114">
                        <c:v>44354</c:v>
                      </c:pt>
                      <c:pt idx="115">
                        <c:v>44355</c:v>
                      </c:pt>
                      <c:pt idx="116">
                        <c:v>44356</c:v>
                      </c:pt>
                      <c:pt idx="117">
                        <c:v>44357</c:v>
                      </c:pt>
                      <c:pt idx="118">
                        <c:v>44358</c:v>
                      </c:pt>
                      <c:pt idx="119">
                        <c:v>44361</c:v>
                      </c:pt>
                      <c:pt idx="120">
                        <c:v>44362</c:v>
                      </c:pt>
                      <c:pt idx="121">
                        <c:v>44363</c:v>
                      </c:pt>
                      <c:pt idx="122">
                        <c:v>44364</c:v>
                      </c:pt>
                      <c:pt idx="123">
                        <c:v>44365</c:v>
                      </c:pt>
                      <c:pt idx="124">
                        <c:v>44368</c:v>
                      </c:pt>
                      <c:pt idx="125">
                        <c:v>44369</c:v>
                      </c:pt>
                      <c:pt idx="126">
                        <c:v>44370</c:v>
                      </c:pt>
                      <c:pt idx="127">
                        <c:v>44371</c:v>
                      </c:pt>
                      <c:pt idx="128">
                        <c:v>44372</c:v>
                      </c:pt>
                      <c:pt idx="129">
                        <c:v>44375</c:v>
                      </c:pt>
                      <c:pt idx="130">
                        <c:v>44376</c:v>
                      </c:pt>
                      <c:pt idx="131">
                        <c:v>44377</c:v>
                      </c:pt>
                      <c:pt idx="132">
                        <c:v>44378</c:v>
                      </c:pt>
                      <c:pt idx="133">
                        <c:v>44379</c:v>
                      </c:pt>
                      <c:pt idx="134">
                        <c:v>44382</c:v>
                      </c:pt>
                      <c:pt idx="135">
                        <c:v>44383</c:v>
                      </c:pt>
                      <c:pt idx="136">
                        <c:v>44384</c:v>
                      </c:pt>
                      <c:pt idx="137">
                        <c:v>44385</c:v>
                      </c:pt>
                      <c:pt idx="138">
                        <c:v>44386</c:v>
                      </c:pt>
                      <c:pt idx="139">
                        <c:v>44389</c:v>
                      </c:pt>
                      <c:pt idx="140">
                        <c:v>44390</c:v>
                      </c:pt>
                      <c:pt idx="141">
                        <c:v>44391</c:v>
                      </c:pt>
                      <c:pt idx="142">
                        <c:v>44392</c:v>
                      </c:pt>
                      <c:pt idx="143">
                        <c:v>44393</c:v>
                      </c:pt>
                      <c:pt idx="144">
                        <c:v>44396</c:v>
                      </c:pt>
                      <c:pt idx="145">
                        <c:v>44397</c:v>
                      </c:pt>
                      <c:pt idx="146">
                        <c:v>44398</c:v>
                      </c:pt>
                      <c:pt idx="147">
                        <c:v>44399</c:v>
                      </c:pt>
                      <c:pt idx="148">
                        <c:v>44400</c:v>
                      </c:pt>
                      <c:pt idx="149">
                        <c:v>44403</c:v>
                      </c:pt>
                      <c:pt idx="150">
                        <c:v>44404</c:v>
                      </c:pt>
                      <c:pt idx="151">
                        <c:v>44405</c:v>
                      </c:pt>
                      <c:pt idx="152">
                        <c:v>44406</c:v>
                      </c:pt>
                      <c:pt idx="153">
                        <c:v>44407</c:v>
                      </c:pt>
                      <c:pt idx="154">
                        <c:v>44410</c:v>
                      </c:pt>
                      <c:pt idx="155">
                        <c:v>44411</c:v>
                      </c:pt>
                      <c:pt idx="156">
                        <c:v>44412</c:v>
                      </c:pt>
                      <c:pt idx="157">
                        <c:v>44413</c:v>
                      </c:pt>
                      <c:pt idx="158">
                        <c:v>44414</c:v>
                      </c:pt>
                      <c:pt idx="159">
                        <c:v>44417</c:v>
                      </c:pt>
                      <c:pt idx="160">
                        <c:v>44418</c:v>
                      </c:pt>
                      <c:pt idx="161">
                        <c:v>44419</c:v>
                      </c:pt>
                      <c:pt idx="162">
                        <c:v>44420</c:v>
                      </c:pt>
                      <c:pt idx="163">
                        <c:v>44421</c:v>
                      </c:pt>
                      <c:pt idx="164">
                        <c:v>44424</c:v>
                      </c:pt>
                      <c:pt idx="165">
                        <c:v>44425</c:v>
                      </c:pt>
                      <c:pt idx="166">
                        <c:v>44426</c:v>
                      </c:pt>
                      <c:pt idx="167">
                        <c:v>44427</c:v>
                      </c:pt>
                      <c:pt idx="168">
                        <c:v>44428</c:v>
                      </c:pt>
                      <c:pt idx="169">
                        <c:v>44431</c:v>
                      </c:pt>
                      <c:pt idx="170">
                        <c:v>44432</c:v>
                      </c:pt>
                      <c:pt idx="171">
                        <c:v>44433</c:v>
                      </c:pt>
                      <c:pt idx="172">
                        <c:v>44434</c:v>
                      </c:pt>
                      <c:pt idx="173">
                        <c:v>44435</c:v>
                      </c:pt>
                      <c:pt idx="174">
                        <c:v>44438</c:v>
                      </c:pt>
                      <c:pt idx="175">
                        <c:v>44439</c:v>
                      </c:pt>
                      <c:pt idx="176">
                        <c:v>44440</c:v>
                      </c:pt>
                      <c:pt idx="177">
                        <c:v>44441</c:v>
                      </c:pt>
                      <c:pt idx="178">
                        <c:v>44442</c:v>
                      </c:pt>
                      <c:pt idx="179">
                        <c:v>44445</c:v>
                      </c:pt>
                      <c:pt idx="180">
                        <c:v>44446</c:v>
                      </c:pt>
                      <c:pt idx="181">
                        <c:v>44447</c:v>
                      </c:pt>
                      <c:pt idx="182">
                        <c:v>44448</c:v>
                      </c:pt>
                      <c:pt idx="183">
                        <c:v>44449</c:v>
                      </c:pt>
                      <c:pt idx="184">
                        <c:v>44452</c:v>
                      </c:pt>
                      <c:pt idx="185">
                        <c:v>44453</c:v>
                      </c:pt>
                      <c:pt idx="186">
                        <c:v>44454</c:v>
                      </c:pt>
                      <c:pt idx="187">
                        <c:v>44455</c:v>
                      </c:pt>
                      <c:pt idx="188">
                        <c:v>44456</c:v>
                      </c:pt>
                      <c:pt idx="189">
                        <c:v>44459</c:v>
                      </c:pt>
                      <c:pt idx="190">
                        <c:v>44460</c:v>
                      </c:pt>
                      <c:pt idx="191">
                        <c:v>44461</c:v>
                      </c:pt>
                      <c:pt idx="192">
                        <c:v>44462</c:v>
                      </c:pt>
                      <c:pt idx="193">
                        <c:v>44463</c:v>
                      </c:pt>
                      <c:pt idx="194">
                        <c:v>44466</c:v>
                      </c:pt>
                      <c:pt idx="195">
                        <c:v>44467</c:v>
                      </c:pt>
                      <c:pt idx="196">
                        <c:v>44468</c:v>
                      </c:pt>
                      <c:pt idx="197">
                        <c:v>44469</c:v>
                      </c:pt>
                      <c:pt idx="198">
                        <c:v>44470</c:v>
                      </c:pt>
                      <c:pt idx="199">
                        <c:v>44473</c:v>
                      </c:pt>
                      <c:pt idx="200">
                        <c:v>44474</c:v>
                      </c:pt>
                      <c:pt idx="201">
                        <c:v>44475</c:v>
                      </c:pt>
                      <c:pt idx="202">
                        <c:v>44476</c:v>
                      </c:pt>
                      <c:pt idx="203">
                        <c:v>44477</c:v>
                      </c:pt>
                      <c:pt idx="204">
                        <c:v>44480</c:v>
                      </c:pt>
                      <c:pt idx="205">
                        <c:v>44481</c:v>
                      </c:pt>
                      <c:pt idx="206">
                        <c:v>44482</c:v>
                      </c:pt>
                      <c:pt idx="207">
                        <c:v>44483</c:v>
                      </c:pt>
                      <c:pt idx="208">
                        <c:v>44484</c:v>
                      </c:pt>
                      <c:pt idx="209">
                        <c:v>44487</c:v>
                      </c:pt>
                      <c:pt idx="210">
                        <c:v>44488</c:v>
                      </c:pt>
                      <c:pt idx="211">
                        <c:v>44489</c:v>
                      </c:pt>
                      <c:pt idx="212">
                        <c:v>44490</c:v>
                      </c:pt>
                      <c:pt idx="213">
                        <c:v>44491</c:v>
                      </c:pt>
                      <c:pt idx="214">
                        <c:v>44494</c:v>
                      </c:pt>
                      <c:pt idx="215">
                        <c:v>44495</c:v>
                      </c:pt>
                      <c:pt idx="216">
                        <c:v>44496</c:v>
                      </c:pt>
                      <c:pt idx="217">
                        <c:v>44497</c:v>
                      </c:pt>
                      <c:pt idx="218">
                        <c:v>44498</c:v>
                      </c:pt>
                      <c:pt idx="219">
                        <c:v>44501</c:v>
                      </c:pt>
                      <c:pt idx="220">
                        <c:v>44502</c:v>
                      </c:pt>
                      <c:pt idx="221">
                        <c:v>44503</c:v>
                      </c:pt>
                      <c:pt idx="222">
                        <c:v>44504</c:v>
                      </c:pt>
                      <c:pt idx="223">
                        <c:v>44505</c:v>
                      </c:pt>
                      <c:pt idx="224">
                        <c:v>44508</c:v>
                      </c:pt>
                      <c:pt idx="225">
                        <c:v>44509</c:v>
                      </c:pt>
                      <c:pt idx="226">
                        <c:v>44510</c:v>
                      </c:pt>
                      <c:pt idx="227">
                        <c:v>44511</c:v>
                      </c:pt>
                      <c:pt idx="228">
                        <c:v>44512</c:v>
                      </c:pt>
                      <c:pt idx="229">
                        <c:v>44515</c:v>
                      </c:pt>
                      <c:pt idx="230">
                        <c:v>44516</c:v>
                      </c:pt>
                      <c:pt idx="231">
                        <c:v>44517</c:v>
                      </c:pt>
                      <c:pt idx="232">
                        <c:v>44518</c:v>
                      </c:pt>
                      <c:pt idx="233">
                        <c:v>44519</c:v>
                      </c:pt>
                      <c:pt idx="234">
                        <c:v>44522</c:v>
                      </c:pt>
                      <c:pt idx="235">
                        <c:v>44523</c:v>
                      </c:pt>
                      <c:pt idx="236">
                        <c:v>44524</c:v>
                      </c:pt>
                      <c:pt idx="237">
                        <c:v>44525</c:v>
                      </c:pt>
                      <c:pt idx="238">
                        <c:v>44526</c:v>
                      </c:pt>
                      <c:pt idx="239">
                        <c:v>44529</c:v>
                      </c:pt>
                      <c:pt idx="240">
                        <c:v>44530</c:v>
                      </c:pt>
                      <c:pt idx="241">
                        <c:v>44531</c:v>
                      </c:pt>
                      <c:pt idx="242">
                        <c:v>44532</c:v>
                      </c:pt>
                      <c:pt idx="243">
                        <c:v>44533</c:v>
                      </c:pt>
                      <c:pt idx="244">
                        <c:v>44536</c:v>
                      </c:pt>
                      <c:pt idx="245">
                        <c:v>44537</c:v>
                      </c:pt>
                      <c:pt idx="246">
                        <c:v>44538</c:v>
                      </c:pt>
                      <c:pt idx="247">
                        <c:v>44539</c:v>
                      </c:pt>
                      <c:pt idx="248">
                        <c:v>44540</c:v>
                      </c:pt>
                      <c:pt idx="249">
                        <c:v>44543</c:v>
                      </c:pt>
                      <c:pt idx="250">
                        <c:v>44544</c:v>
                      </c:pt>
                      <c:pt idx="251">
                        <c:v>44545</c:v>
                      </c:pt>
                      <c:pt idx="252">
                        <c:v>44546</c:v>
                      </c:pt>
                      <c:pt idx="253">
                        <c:v>44547</c:v>
                      </c:pt>
                      <c:pt idx="254">
                        <c:v>44550</c:v>
                      </c:pt>
                      <c:pt idx="255">
                        <c:v>44551</c:v>
                      </c:pt>
                      <c:pt idx="256">
                        <c:v>44552</c:v>
                      </c:pt>
                      <c:pt idx="257">
                        <c:v>44553</c:v>
                      </c:pt>
                      <c:pt idx="258">
                        <c:v>44554</c:v>
                      </c:pt>
                      <c:pt idx="259">
                        <c:v>44557</c:v>
                      </c:pt>
                      <c:pt idx="260">
                        <c:v>44558</c:v>
                      </c:pt>
                      <c:pt idx="261">
                        <c:v>44559</c:v>
                      </c:pt>
                      <c:pt idx="262">
                        <c:v>44560</c:v>
                      </c:pt>
                      <c:pt idx="263">
                        <c:v>44561</c:v>
                      </c:pt>
                      <c:pt idx="264">
                        <c:v>44562</c:v>
                      </c:pt>
                    </c:numCache>
                  </c:numRef>
                </c:cat>
                <c:val>
                  <c:numRef>
                    <c:extLst xmlns:c15="http://schemas.microsoft.com/office/drawing/2012/chart">
                      <c:ext xmlns:c15="http://schemas.microsoft.com/office/drawing/2012/chart" uri="{02D57815-91ED-43cb-92C2-25804820EDAC}">
                        <c15:formulaRef>
                          <c15:sqref>'Currency Chart'!$Y$6:$Y$291</c15:sqref>
                        </c15:formulaRef>
                      </c:ext>
                    </c:extLst>
                    <c:numCache>
                      <c:formatCode>0</c:formatCode>
                      <c:ptCount val="286"/>
                      <c:pt idx="0" formatCode="General">
                        <c:v>100</c:v>
                      </c:pt>
                      <c:pt idx="1">
                        <c:v>100</c:v>
                      </c:pt>
                      <c:pt idx="2">
                        <c:v>99.570669980793127</c:v>
                      </c:pt>
                      <c:pt idx="3">
                        <c:v>99.231725228787695</c:v>
                      </c:pt>
                      <c:pt idx="4">
                        <c:v>99.231725228787695</c:v>
                      </c:pt>
                      <c:pt idx="5">
                        <c:v>100</c:v>
                      </c:pt>
                      <c:pt idx="6">
                        <c:v>100.03389447520054</c:v>
                      </c:pt>
                      <c:pt idx="7">
                        <c:v>100.57620607840923</c:v>
                      </c:pt>
                      <c:pt idx="8">
                        <c:v>100.13557790080218</c:v>
                      </c:pt>
                      <c:pt idx="9">
                        <c:v>100.28245396000452</c:v>
                      </c:pt>
                      <c:pt idx="10">
                        <c:v>100.32764659360524</c:v>
                      </c:pt>
                      <c:pt idx="11">
                        <c:v>100.63269687041011</c:v>
                      </c:pt>
                      <c:pt idx="12">
                        <c:v>100.62139871200992</c:v>
                      </c:pt>
                      <c:pt idx="13">
                        <c:v>100.38413738560612</c:v>
                      </c:pt>
                      <c:pt idx="14">
                        <c:v>100.49711896960793</c:v>
                      </c:pt>
                      <c:pt idx="15">
                        <c:v>99.999999999999972</c:v>
                      </c:pt>
                      <c:pt idx="16">
                        <c:v>100.01129815840015</c:v>
                      </c:pt>
                      <c:pt idx="17">
                        <c:v>100.35024291040557</c:v>
                      </c:pt>
                      <c:pt idx="18">
                        <c:v>100.16947237600267</c:v>
                      </c:pt>
                      <c:pt idx="19">
                        <c:v>100.40673370240647</c:v>
                      </c:pt>
                      <c:pt idx="20">
                        <c:v>100.40673370240647</c:v>
                      </c:pt>
                      <c:pt idx="21">
                        <c:v>100.58750423680935</c:v>
                      </c:pt>
                      <c:pt idx="22">
                        <c:v>101.3218845328211</c:v>
                      </c:pt>
                      <c:pt idx="23">
                        <c:v>101.35577900802164</c:v>
                      </c:pt>
                      <c:pt idx="24">
                        <c:v>101.5591458592249</c:v>
                      </c:pt>
                      <c:pt idx="25">
                        <c:v>102.16924641283465</c:v>
                      </c:pt>
                      <c:pt idx="26">
                        <c:v>101.54784770082472</c:v>
                      </c:pt>
                      <c:pt idx="27">
                        <c:v>101.52525138402434</c:v>
                      </c:pt>
                      <c:pt idx="28">
                        <c:v>100.79087108801259</c:v>
                      </c:pt>
                      <c:pt idx="29">
                        <c:v>100.5536097616088</c:v>
                      </c:pt>
                      <c:pt idx="30">
                        <c:v>100.5536097616088</c:v>
                      </c:pt>
                      <c:pt idx="31">
                        <c:v>100.68918766241096</c:v>
                      </c:pt>
                      <c:pt idx="32">
                        <c:v>100.56490792000896</c:v>
                      </c:pt>
                      <c:pt idx="33">
                        <c:v>100.81346740481294</c:v>
                      </c:pt>
                      <c:pt idx="34">
                        <c:v>101.52525138402432</c:v>
                      </c:pt>
                      <c:pt idx="35">
                        <c:v>101.19760479041908</c:v>
                      </c:pt>
                      <c:pt idx="36">
                        <c:v>101.25409558241998</c:v>
                      </c:pt>
                      <c:pt idx="37">
                        <c:v>101.25409558241998</c:v>
                      </c:pt>
                      <c:pt idx="38">
                        <c:v>101.23149926561962</c:v>
                      </c:pt>
                      <c:pt idx="39">
                        <c:v>102.24833352163589</c:v>
                      </c:pt>
                      <c:pt idx="40">
                        <c:v>102.39520958083823</c:v>
                      </c:pt>
                      <c:pt idx="41">
                        <c:v>102.16924641283461</c:v>
                      </c:pt>
                      <c:pt idx="42">
                        <c:v>102.60987459044166</c:v>
                      </c:pt>
                      <c:pt idx="43">
                        <c:v>103.35555304485358</c:v>
                      </c:pt>
                      <c:pt idx="44">
                        <c:v>103.33295672805322</c:v>
                      </c:pt>
                      <c:pt idx="45">
                        <c:v>103.90916280646245</c:v>
                      </c:pt>
                      <c:pt idx="46">
                        <c:v>104.90340074567835</c:v>
                      </c:pt>
                      <c:pt idx="47">
                        <c:v>105.17455654728269</c:v>
                      </c:pt>
                      <c:pt idx="48">
                        <c:v>105.80725341769282</c:v>
                      </c:pt>
                      <c:pt idx="49">
                        <c:v>104.79041916167655</c:v>
                      </c:pt>
                      <c:pt idx="50">
                        <c:v>105.01638232968016</c:v>
                      </c:pt>
                      <c:pt idx="51">
                        <c:v>104.41757993447057</c:v>
                      </c:pt>
                      <c:pt idx="52">
                        <c:v>105.03897864648052</c:v>
                      </c:pt>
                      <c:pt idx="53">
                        <c:v>104.756524686476</c:v>
                      </c:pt>
                      <c:pt idx="54">
                        <c:v>104.45147440967111</c:v>
                      </c:pt>
                      <c:pt idx="55">
                        <c:v>104.21421308326731</c:v>
                      </c:pt>
                      <c:pt idx="56">
                        <c:v>104.72263021127544</c:v>
                      </c:pt>
                      <c:pt idx="57">
                        <c:v>104.98248785447961</c:v>
                      </c:pt>
                      <c:pt idx="58">
                        <c:v>104.28200203366841</c:v>
                      </c:pt>
                      <c:pt idx="59">
                        <c:v>105.50220314088791</c:v>
                      </c:pt>
                      <c:pt idx="60">
                        <c:v>105.69427183369098</c:v>
                      </c:pt>
                      <c:pt idx="61">
                        <c:v>106.2026889616991</c:v>
                      </c:pt>
                      <c:pt idx="62">
                        <c:v>106.07840921929711</c:v>
                      </c:pt>
                      <c:pt idx="63">
                        <c:v>106.08970737769728</c:v>
                      </c:pt>
                      <c:pt idx="64">
                        <c:v>106.4286521297027</c:v>
                      </c:pt>
                      <c:pt idx="65">
                        <c:v>106.58682634730523</c:v>
                      </c:pt>
                      <c:pt idx="66">
                        <c:v>106.4286521297027</c:v>
                      </c:pt>
                      <c:pt idx="67">
                        <c:v>106.43995028810289</c:v>
                      </c:pt>
                      <c:pt idx="68">
                        <c:v>105.79595525929258</c:v>
                      </c:pt>
                      <c:pt idx="69">
                        <c:v>105.16325838888245</c:v>
                      </c:pt>
                      <c:pt idx="70">
                        <c:v>105.00508417127993</c:v>
                      </c:pt>
                      <c:pt idx="71">
                        <c:v>104.47407072647144</c:v>
                      </c:pt>
                      <c:pt idx="72">
                        <c:v>104.48536888487162</c:v>
                      </c:pt>
                      <c:pt idx="73">
                        <c:v>104.21421308326728</c:v>
                      </c:pt>
                      <c:pt idx="74">
                        <c:v>104.03344254886439</c:v>
                      </c:pt>
                      <c:pt idx="75">
                        <c:v>104.2142130832673</c:v>
                      </c:pt>
                      <c:pt idx="76">
                        <c:v>104.23680940006766</c:v>
                      </c:pt>
                      <c:pt idx="77">
                        <c:v>103.94305728166297</c:v>
                      </c:pt>
                      <c:pt idx="78">
                        <c:v>103.37814936165394</c:v>
                      </c:pt>
                      <c:pt idx="79">
                        <c:v>103.46853462885538</c:v>
                      </c:pt>
                      <c:pt idx="80">
                        <c:v>103.59281437125738</c:v>
                      </c:pt>
                      <c:pt idx="81">
                        <c:v>103.55891989605682</c:v>
                      </c:pt>
                      <c:pt idx="82">
                        <c:v>103.19737882725104</c:v>
                      </c:pt>
                      <c:pt idx="83">
                        <c:v>103.19737882725104</c:v>
                      </c:pt>
                      <c:pt idx="84">
                        <c:v>103.25386961925196</c:v>
                      </c:pt>
                      <c:pt idx="85">
                        <c:v>103.19737882725106</c:v>
                      </c:pt>
                      <c:pt idx="86">
                        <c:v>102.74545249124382</c:v>
                      </c:pt>
                      <c:pt idx="87">
                        <c:v>102.62117274884183</c:v>
                      </c:pt>
                      <c:pt idx="88">
                        <c:v>103.18608066885086</c:v>
                      </c:pt>
                      <c:pt idx="89">
                        <c:v>102.91492486724653</c:v>
                      </c:pt>
                      <c:pt idx="90">
                        <c:v>103.20867698565121</c:v>
                      </c:pt>
                      <c:pt idx="91">
                        <c:v>103.12958987684993</c:v>
                      </c:pt>
                      <c:pt idx="92">
                        <c:v>102.47429668963946</c:v>
                      </c:pt>
                      <c:pt idx="93">
                        <c:v>101.79640718562861</c:v>
                      </c:pt>
                      <c:pt idx="94">
                        <c:v>101.80770534402879</c:v>
                      </c:pt>
                      <c:pt idx="95">
                        <c:v>102.10145746243347</c:v>
                      </c:pt>
                      <c:pt idx="96">
                        <c:v>102.71155801604326</c:v>
                      </c:pt>
                      <c:pt idx="97">
                        <c:v>102.35001694723748</c:v>
                      </c:pt>
                      <c:pt idx="98">
                        <c:v>101.80770534402879</c:v>
                      </c:pt>
                      <c:pt idx="99">
                        <c:v>102.04496667043259</c:v>
                      </c:pt>
                      <c:pt idx="100">
                        <c:v>101.41226980002246</c:v>
                      </c:pt>
                      <c:pt idx="101">
                        <c:v>102.11275562083368</c:v>
                      </c:pt>
                      <c:pt idx="102">
                        <c:v>101.35577900802157</c:v>
                      </c:pt>
                      <c:pt idx="103">
                        <c:v>101.41226980002247</c:v>
                      </c:pt>
                      <c:pt idx="104">
                        <c:v>101.33318269122121</c:v>
                      </c:pt>
                      <c:pt idx="105">
                        <c:v>101.15241215681831</c:v>
                      </c:pt>
                      <c:pt idx="106">
                        <c:v>101.44616427522303</c:v>
                      </c:pt>
                      <c:pt idx="107">
                        <c:v>101.32188453282104</c:v>
                      </c:pt>
                      <c:pt idx="108">
                        <c:v>101.6495311264263</c:v>
                      </c:pt>
                      <c:pt idx="109">
                        <c:v>101.59304033442538</c:v>
                      </c:pt>
                      <c:pt idx="110">
                        <c:v>101.32188453282104</c:v>
                      </c:pt>
                      <c:pt idx="111">
                        <c:v>101.41226980002249</c:v>
                      </c:pt>
                      <c:pt idx="112">
                        <c:v>102.06756298723298</c:v>
                      </c:pt>
                      <c:pt idx="113">
                        <c:v>101.59304033442538</c:v>
                      </c:pt>
                      <c:pt idx="114">
                        <c:v>101.38967348322213</c:v>
                      </c:pt>
                      <c:pt idx="115">
                        <c:v>101.29928821602068</c:v>
                      </c:pt>
                      <c:pt idx="116">
                        <c:v>101.18630663201887</c:v>
                      </c:pt>
                      <c:pt idx="117">
                        <c:v>101.03943057281653</c:v>
                      </c:pt>
                      <c:pt idx="118">
                        <c:v>101.44616427522304</c:v>
                      </c:pt>
                      <c:pt idx="119">
                        <c:v>101.66082928482648</c:v>
                      </c:pt>
                      <c:pt idx="120">
                        <c:v>101.44616427522304</c:v>
                      </c:pt>
                      <c:pt idx="121">
                        <c:v>102.6437690656422</c:v>
                      </c:pt>
                      <c:pt idx="122">
                        <c:v>103.63800700485812</c:v>
                      </c:pt>
                      <c:pt idx="123">
                        <c:v>104.21421308326734</c:v>
                      </c:pt>
                      <c:pt idx="124">
                        <c:v>103.69449779685903</c:v>
                      </c:pt>
                      <c:pt idx="125">
                        <c:v>103.69449779685903</c:v>
                      </c:pt>
                      <c:pt idx="126">
                        <c:v>103.79618122246066</c:v>
                      </c:pt>
                      <c:pt idx="127">
                        <c:v>103.66060332165848</c:v>
                      </c:pt>
                      <c:pt idx="128">
                        <c:v>103.66060332165848</c:v>
                      </c:pt>
                      <c:pt idx="129">
                        <c:v>103.86397017286174</c:v>
                      </c:pt>
                      <c:pt idx="130">
                        <c:v>104.0108462320641</c:v>
                      </c:pt>
                      <c:pt idx="131">
                        <c:v>104.49666704327188</c:v>
                      </c:pt>
                      <c:pt idx="132">
                        <c:v>104.53056151847241</c:v>
                      </c:pt>
                      <c:pt idx="133">
                        <c:v>104.01084623206408</c:v>
                      </c:pt>
                      <c:pt idx="134">
                        <c:v>104.15772229126645</c:v>
                      </c:pt>
                      <c:pt idx="135">
                        <c:v>104.40628177607041</c:v>
                      </c:pt>
                      <c:pt idx="136">
                        <c:v>104.54185967687259</c:v>
                      </c:pt>
                      <c:pt idx="137">
                        <c:v>103.43464015365487</c:v>
                      </c:pt>
                      <c:pt idx="138">
                        <c:v>103.24257146085179</c:v>
                      </c:pt>
                      <c:pt idx="139">
                        <c:v>103.36685120325379</c:v>
                      </c:pt>
                      <c:pt idx="140">
                        <c:v>103.76228674726011</c:v>
                      </c:pt>
                      <c:pt idx="141">
                        <c:v>103.36685120325379</c:v>
                      </c:pt>
                      <c:pt idx="142">
                        <c:v>103.67190148005865</c:v>
                      </c:pt>
                      <c:pt idx="143">
                        <c:v>103.87526833126189</c:v>
                      </c:pt>
                      <c:pt idx="144">
                        <c:v>103.70579595525919</c:v>
                      </c:pt>
                      <c:pt idx="145">
                        <c:v>104.13512597446604</c:v>
                      </c:pt>
                      <c:pt idx="146">
                        <c:v>103.66060332165844</c:v>
                      </c:pt>
                      <c:pt idx="147">
                        <c:v>103.80747938086078</c:v>
                      </c:pt>
                      <c:pt idx="148">
                        <c:v>103.83007569766114</c:v>
                      </c:pt>
                      <c:pt idx="149">
                        <c:v>103.47983278725555</c:v>
                      </c:pt>
                      <c:pt idx="150">
                        <c:v>103.29906225285265</c:v>
                      </c:pt>
                      <c:pt idx="151">
                        <c:v>102.8019432832447</c:v>
                      </c:pt>
                      <c:pt idx="152">
                        <c:v>102.383911422438</c:v>
                      </c:pt>
                      <c:pt idx="153">
                        <c:v>102.29352615523655</c:v>
                      </c:pt>
                      <c:pt idx="154">
                        <c:v>102.29352615523655</c:v>
                      </c:pt>
                      <c:pt idx="155">
                        <c:v>102.09015930403329</c:v>
                      </c:pt>
                      <c:pt idx="156">
                        <c:v>102.45170037283908</c:v>
                      </c:pt>
                      <c:pt idx="157">
                        <c:v>102.51948932324017</c:v>
                      </c:pt>
                      <c:pt idx="158">
                        <c:v>103.31036041125282</c:v>
                      </c:pt>
                      <c:pt idx="159">
                        <c:v>103.99954807366385</c:v>
                      </c:pt>
                      <c:pt idx="160">
                        <c:v>104.23680940006764</c:v>
                      </c:pt>
                      <c:pt idx="161">
                        <c:v>104.14642413286619</c:v>
                      </c:pt>
                      <c:pt idx="162">
                        <c:v>104.30459835046872</c:v>
                      </c:pt>
                      <c:pt idx="163">
                        <c:v>103.42334199525463</c:v>
                      </c:pt>
                      <c:pt idx="164">
                        <c:v>103.03920460964849</c:v>
                      </c:pt>
                      <c:pt idx="165">
                        <c:v>103.31036041125282</c:v>
                      </c:pt>
                      <c:pt idx="166">
                        <c:v>103.58151621285714</c:v>
                      </c:pt>
                      <c:pt idx="167">
                        <c:v>103.79618122246058</c:v>
                      </c:pt>
                      <c:pt idx="168">
                        <c:v>103.61541068805769</c:v>
                      </c:pt>
                      <c:pt idx="169">
                        <c:v>103.06180092644884</c:v>
                      </c:pt>
                      <c:pt idx="170">
                        <c:v>103.06180092644884</c:v>
                      </c:pt>
                      <c:pt idx="171">
                        <c:v>103.21997514405136</c:v>
                      </c:pt>
                      <c:pt idx="172">
                        <c:v>103.67190148005859</c:v>
                      </c:pt>
                      <c:pt idx="173">
                        <c:v>102.93752118404686</c:v>
                      </c:pt>
                      <c:pt idx="174">
                        <c:v>103.58151621285715</c:v>
                      </c:pt>
                      <c:pt idx="175">
                        <c:v>103.37814936165391</c:v>
                      </c:pt>
                      <c:pt idx="176">
                        <c:v>103.37814936165391</c:v>
                      </c:pt>
                      <c:pt idx="177">
                        <c:v>103.27646593605229</c:v>
                      </c:pt>
                      <c:pt idx="178">
                        <c:v>103.20867698565119</c:v>
                      </c:pt>
                      <c:pt idx="179">
                        <c:v>103.35555304485354</c:v>
                      </c:pt>
                      <c:pt idx="180">
                        <c:v>103.88656648966203</c:v>
                      </c:pt>
                      <c:pt idx="181">
                        <c:v>104.16902044966656</c:v>
                      </c:pt>
                      <c:pt idx="182">
                        <c:v>103.58151621285715</c:v>
                      </c:pt>
                      <c:pt idx="183">
                        <c:v>103.67190148005861</c:v>
                      </c:pt>
                      <c:pt idx="184">
                        <c:v>104.18031860806676</c:v>
                      </c:pt>
                      <c:pt idx="185">
                        <c:v>103.96565359846332</c:v>
                      </c:pt>
                      <c:pt idx="186">
                        <c:v>103.89786464806222</c:v>
                      </c:pt>
                      <c:pt idx="187">
                        <c:v>104.79041916167651</c:v>
                      </c:pt>
                      <c:pt idx="188">
                        <c:v>105.33273076488518</c:v>
                      </c:pt>
                      <c:pt idx="189">
                        <c:v>104.80171732007668</c:v>
                      </c:pt>
                      <c:pt idx="190">
                        <c:v>104.31589650886892</c:v>
                      </c:pt>
                      <c:pt idx="191">
                        <c:v>104.63224494407399</c:v>
                      </c:pt>
                      <c:pt idx="192">
                        <c:v>104.39498361767019</c:v>
                      </c:pt>
                      <c:pt idx="193">
                        <c:v>104.38368545927001</c:v>
                      </c:pt>
                      <c:pt idx="194">
                        <c:v>104.57575415207307</c:v>
                      </c:pt>
                      <c:pt idx="195">
                        <c:v>104.98248785447959</c:v>
                      </c:pt>
                      <c:pt idx="196">
                        <c:v>105.61518472488969</c:v>
                      </c:pt>
                      <c:pt idx="197">
                        <c:v>105.24234549768373</c:v>
                      </c:pt>
                      <c:pt idx="198">
                        <c:v>105.17455654728265</c:v>
                      </c:pt>
                      <c:pt idx="199">
                        <c:v>104.47407072647144</c:v>
                      </c:pt>
                      <c:pt idx="200">
                        <c:v>104.81301547847687</c:v>
                      </c:pt>
                      <c:pt idx="201">
                        <c:v>104.75652468647597</c:v>
                      </c:pt>
                      <c:pt idx="202">
                        <c:v>104.94859337927903</c:v>
                      </c:pt>
                      <c:pt idx="203">
                        <c:v>104.74522652807579</c:v>
                      </c:pt>
                      <c:pt idx="204">
                        <c:v>104.79041916167651</c:v>
                      </c:pt>
                      <c:pt idx="205">
                        <c:v>105.14066207208211</c:v>
                      </c:pt>
                      <c:pt idx="206">
                        <c:v>104.41757993447055</c:v>
                      </c:pt>
                      <c:pt idx="207">
                        <c:v>104.31589650886893</c:v>
                      </c:pt>
                      <c:pt idx="208">
                        <c:v>104.23680940006766</c:v>
                      </c:pt>
                      <c:pt idx="209">
                        <c:v>104.36108914246965</c:v>
                      </c:pt>
                      <c:pt idx="210">
                        <c:v>104.25940571686802</c:v>
                      </c:pt>
                      <c:pt idx="211">
                        <c:v>103.80747938086078</c:v>
                      </c:pt>
                      <c:pt idx="212">
                        <c:v>103.7396904304597</c:v>
                      </c:pt>
                      <c:pt idx="213">
                        <c:v>103.46853462885535</c:v>
                      </c:pt>
                      <c:pt idx="214">
                        <c:v>103.92046096486257</c:v>
                      </c:pt>
                      <c:pt idx="215">
                        <c:v>103.95435544006313</c:v>
                      </c:pt>
                      <c:pt idx="216">
                        <c:v>103.71709411365933</c:v>
                      </c:pt>
                      <c:pt idx="217">
                        <c:v>103.00531013444794</c:v>
                      </c:pt>
                      <c:pt idx="218">
                        <c:v>103.44593831205499</c:v>
                      </c:pt>
                      <c:pt idx="219">
                        <c:v>102.70025985764308</c:v>
                      </c:pt>
                      <c:pt idx="220">
                        <c:v>103.31036041125283</c:v>
                      </c:pt>
                      <c:pt idx="221">
                        <c:v>102.99401197604776</c:v>
                      </c:pt>
                      <c:pt idx="222">
                        <c:v>103.08439724324921</c:v>
                      </c:pt>
                      <c:pt idx="223">
                        <c:v>103.05050276804867</c:v>
                      </c:pt>
                      <c:pt idx="224">
                        <c:v>103.20867698565121</c:v>
                      </c:pt>
                      <c:pt idx="225">
                        <c:v>102.93752118404687</c:v>
                      </c:pt>
                      <c:pt idx="226">
                        <c:v>103.66060332165844</c:v>
                      </c:pt>
                      <c:pt idx="227">
                        <c:v>104.02214439046423</c:v>
                      </c:pt>
                      <c:pt idx="228">
                        <c:v>104.08993334086533</c:v>
                      </c:pt>
                      <c:pt idx="229">
                        <c:v>104.50796520167202</c:v>
                      </c:pt>
                      <c:pt idx="230">
                        <c:v>105.05027680488068</c:v>
                      </c:pt>
                      <c:pt idx="231">
                        <c:v>104.8695062704778</c:v>
                      </c:pt>
                      <c:pt idx="232">
                        <c:v>104.62094678567382</c:v>
                      </c:pt>
                      <c:pt idx="233">
                        <c:v>104.85820811207761</c:v>
                      </c:pt>
                      <c:pt idx="234">
                        <c:v>105.41181787368647</c:v>
                      </c:pt>
                      <c:pt idx="235">
                        <c:v>105.40051971528628</c:v>
                      </c:pt>
                      <c:pt idx="236">
                        <c:v>105.58129024968919</c:v>
                      </c:pt>
                      <c:pt idx="237">
                        <c:v>105.73946446729171</c:v>
                      </c:pt>
                      <c:pt idx="238">
                        <c:v>104.38368545927003</c:v>
                      </c:pt>
                      <c:pt idx="239">
                        <c:v>104.28200203366841</c:v>
                      </c:pt>
                      <c:pt idx="240">
                        <c:v>103.78488306406045</c:v>
                      </c:pt>
                      <c:pt idx="241">
                        <c:v>103.98824991526372</c:v>
                      </c:pt>
                      <c:pt idx="242">
                        <c:v>103.96565359846336</c:v>
                      </c:pt>
                      <c:pt idx="243">
                        <c:v>103.69449779685901</c:v>
                      </c:pt>
                      <c:pt idx="244">
                        <c:v>104.57575415207312</c:v>
                      </c:pt>
                      <c:pt idx="245">
                        <c:v>104.51926336007222</c:v>
                      </c:pt>
                      <c:pt idx="246">
                        <c:v>103.97695175686353</c:v>
                      </c:pt>
                      <c:pt idx="247">
                        <c:v>104.30459835046878</c:v>
                      </c:pt>
                      <c:pt idx="248">
                        <c:v>104.04474070726462</c:v>
                      </c:pt>
                      <c:pt idx="249">
                        <c:v>104.22551124166752</c:v>
                      </c:pt>
                      <c:pt idx="250">
                        <c:v>104.38368545927005</c:v>
                      </c:pt>
                      <c:pt idx="251">
                        <c:v>104.48536888487166</c:v>
                      </c:pt>
                      <c:pt idx="252">
                        <c:v>103.84137385606137</c:v>
                      </c:pt>
                      <c:pt idx="253">
                        <c:v>104.36108914246968</c:v>
                      </c:pt>
                      <c:pt idx="254">
                        <c:v>104.0560388656648</c:v>
                      </c:pt>
                      <c:pt idx="255">
                        <c:v>104.34979098406949</c:v>
                      </c:pt>
                      <c:pt idx="256">
                        <c:v>103.92046096486261</c:v>
                      </c:pt>
                      <c:pt idx="257">
                        <c:v>103.75098858885991</c:v>
                      </c:pt>
                      <c:pt idx="258">
                        <c:v>103.86397017286171</c:v>
                      </c:pt>
                      <c:pt idx="259">
                        <c:v>103.62670884645792</c:v>
                      </c:pt>
                      <c:pt idx="260">
                        <c:v>103.64930516325828</c:v>
                      </c:pt>
                      <c:pt idx="261">
                        <c:v>103.3329567280532</c:v>
                      </c:pt>
                      <c:pt idx="262">
                        <c:v>103.19737882725103</c:v>
                      </c:pt>
                      <c:pt idx="263">
                        <c:v>103.06180092644885</c:v>
                      </c:pt>
                    </c:numCache>
                  </c:numRef>
                </c:val>
                <c:smooth val="0"/>
                <c:extLst xmlns:c15="http://schemas.microsoft.com/office/drawing/2012/chart">
                  <c:ext xmlns:c16="http://schemas.microsoft.com/office/drawing/2014/chart" uri="{C3380CC4-5D6E-409C-BE32-E72D297353CC}">
                    <c16:uniqueId val="{0000000B-610E-4E11-9B96-CB188C2DFCB9}"/>
                  </c:ext>
                </c:extLst>
              </c15:ser>
            </c15:filteredLineSeries>
          </c:ext>
        </c:extLst>
      </c:lineChart>
      <c:dateAx>
        <c:axId val="775787455"/>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crossAx val="775774559"/>
        <c:crosses val="autoZero"/>
        <c:auto val="1"/>
        <c:lblOffset val="100"/>
        <c:baseTimeUnit val="days"/>
      </c:dateAx>
      <c:valAx>
        <c:axId val="775774559"/>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crossAx val="775787455"/>
        <c:crosses val="autoZero"/>
        <c:crossBetween val="between"/>
        <c:majorUnit val="5"/>
      </c:valAx>
      <c:spPr>
        <a:noFill/>
        <a:ln>
          <a:noFill/>
        </a:ln>
        <a:effectLst/>
      </c:spPr>
    </c:plotArea>
    <c:legend>
      <c:legendPos val="b"/>
      <c:layout>
        <c:manualLayout>
          <c:xMode val="edge"/>
          <c:yMode val="edge"/>
          <c:x val="6.0165354330708659E-2"/>
          <c:y val="0.80497521143190431"/>
          <c:w val="0.87966929133858263"/>
          <c:h val="0.1672470107903178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Garamond" panose="020204040303010108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71408458048704"/>
          <c:y val="2.7597065390420877E-2"/>
          <c:w val="0.81568441362048283"/>
          <c:h val="0.65597657310486546"/>
        </c:manualLayout>
      </c:layout>
      <c:barChart>
        <c:barDir val="col"/>
        <c:grouping val="clustered"/>
        <c:varyColors val="0"/>
        <c:ser>
          <c:idx val="2"/>
          <c:order val="0"/>
          <c:tx>
            <c:strRef>
              <c:f>ADT!$B$4</c:f>
              <c:strCache>
                <c:ptCount val="1"/>
                <c:pt idx="0">
                  <c:v>ADT at BSE (RHS)</c:v>
                </c:pt>
              </c:strCache>
            </c:strRef>
          </c:tx>
          <c:spPr>
            <a:solidFill>
              <a:srgbClr val="00B050"/>
            </a:solidFill>
            <a:ln>
              <a:noFill/>
            </a:ln>
            <a:effectLst/>
          </c:spPr>
          <c:invertIfNegative val="0"/>
          <c:cat>
            <c:numRef>
              <c:f>ADT!$A$8:$A$19</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44471</c:v>
                </c:pt>
                <c:pt idx="10">
                  <c:v>44501</c:v>
                </c:pt>
                <c:pt idx="11">
                  <c:v>44531</c:v>
                </c:pt>
              </c:numCache>
            </c:numRef>
          </c:cat>
          <c:val>
            <c:numRef>
              <c:f>ADT!$B$8:$B$19</c:f>
              <c:numCache>
                <c:formatCode>#,##0;\-#,##0;0</c:formatCode>
                <c:ptCount val="12"/>
                <c:pt idx="0" formatCode="[&gt;=10000000]#\,##\,##\,##0;[&gt;=100000]#\,##\,##0;##,##0">
                  <c:v>5203.16</c:v>
                </c:pt>
                <c:pt idx="1">
                  <c:v>7247.7254999999996</c:v>
                </c:pt>
                <c:pt idx="2">
                  <c:v>5010.8952380950004</c:v>
                </c:pt>
                <c:pt idx="3">
                  <c:v>4362.0763157900001</c:v>
                </c:pt>
                <c:pt idx="4">
                  <c:v>5625.0295000000006</c:v>
                </c:pt>
                <c:pt idx="5">
                  <c:v>6815.7186363636347</c:v>
                </c:pt>
                <c:pt idx="6">
                  <c:v>5525.4642857142853</c:v>
                </c:pt>
                <c:pt idx="7">
                  <c:v>5199.0995238100004</c:v>
                </c:pt>
                <c:pt idx="8">
                  <c:v>6141.6595238099999</c:v>
                </c:pt>
                <c:pt idx="9">
                  <c:v>6686.43</c:v>
                </c:pt>
                <c:pt idx="10">
                  <c:v>4853.2844999999998</c:v>
                </c:pt>
                <c:pt idx="11">
                  <c:v>4256.3873913043481</c:v>
                </c:pt>
              </c:numCache>
            </c:numRef>
          </c:val>
          <c:extLst>
            <c:ext xmlns:c16="http://schemas.microsoft.com/office/drawing/2014/chart" uri="{C3380CC4-5D6E-409C-BE32-E72D297353CC}">
              <c16:uniqueId val="{00000000-22A1-407A-B02E-6D2834E598E5}"/>
            </c:ext>
          </c:extLst>
        </c:ser>
        <c:dLbls>
          <c:showLegendKey val="0"/>
          <c:showVal val="0"/>
          <c:showCatName val="0"/>
          <c:showSerName val="0"/>
          <c:showPercent val="0"/>
          <c:showBubbleSize val="0"/>
        </c:dLbls>
        <c:gapWidth val="219"/>
        <c:overlap val="-27"/>
        <c:axId val="437198464"/>
        <c:axId val="437198072"/>
      </c:barChart>
      <c:lineChart>
        <c:grouping val="standard"/>
        <c:varyColors val="0"/>
        <c:ser>
          <c:idx val="0"/>
          <c:order val="2"/>
          <c:tx>
            <c:strRef>
              <c:f>ADT!$D$4</c:f>
              <c:strCache>
                <c:ptCount val="1"/>
                <c:pt idx="0">
                  <c:v>ADT at NSE (LHS)</c:v>
                </c:pt>
              </c:strCache>
            </c:strRef>
          </c:tx>
          <c:spPr>
            <a:ln w="28575" cap="rnd">
              <a:solidFill>
                <a:schemeClr val="accent2"/>
              </a:solidFill>
              <a:round/>
            </a:ln>
            <a:effectLst/>
          </c:spPr>
          <c:marker>
            <c:symbol val="none"/>
          </c:marker>
          <c:cat>
            <c:numRef>
              <c:f>ADT!$A$8:$A$19</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44471</c:v>
                </c:pt>
                <c:pt idx="10">
                  <c:v>44501</c:v>
                </c:pt>
                <c:pt idx="11">
                  <c:v>44531</c:v>
                </c:pt>
              </c:numCache>
            </c:numRef>
          </c:cat>
          <c:val>
            <c:numRef>
              <c:f>ADT!$D$8:$D$19</c:f>
              <c:numCache>
                <c:formatCode>#,##0;\-#,##0;0</c:formatCode>
                <c:ptCount val="12"/>
                <c:pt idx="0" formatCode="[&gt;=10000000]#\,##\,##\,##0;[&gt;=100000]#\,##\,##0;##,##0">
                  <c:v>72472.244728850172</c:v>
                </c:pt>
                <c:pt idx="1">
                  <c:v>81373.180989999993</c:v>
                </c:pt>
                <c:pt idx="2">
                  <c:v>66616.515109999993</c:v>
                </c:pt>
                <c:pt idx="3">
                  <c:v>70036.149999999994</c:v>
                </c:pt>
                <c:pt idx="4">
                  <c:v>78395.767018697938</c:v>
                </c:pt>
                <c:pt idx="5">
                  <c:v>70667.895154310216</c:v>
                </c:pt>
                <c:pt idx="6">
                  <c:v>62653.139047681041</c:v>
                </c:pt>
                <c:pt idx="7">
                  <c:v>62923</c:v>
                </c:pt>
                <c:pt idx="8">
                  <c:v>68525</c:v>
                </c:pt>
                <c:pt idx="9">
                  <c:v>81360.84</c:v>
                </c:pt>
                <c:pt idx="10">
                  <c:v>66982</c:v>
                </c:pt>
                <c:pt idx="11">
                  <c:v>53597</c:v>
                </c:pt>
              </c:numCache>
            </c:numRef>
          </c:val>
          <c:smooth val="0"/>
          <c:extLst>
            <c:ext xmlns:c16="http://schemas.microsoft.com/office/drawing/2014/chart" uri="{C3380CC4-5D6E-409C-BE32-E72D297353CC}">
              <c16:uniqueId val="{00000001-22A1-407A-B02E-6D2834E598E5}"/>
            </c:ext>
          </c:extLst>
        </c:ser>
        <c:dLbls>
          <c:showLegendKey val="0"/>
          <c:showVal val="0"/>
          <c:showCatName val="0"/>
          <c:showSerName val="0"/>
          <c:showPercent val="0"/>
          <c:showBubbleSize val="0"/>
        </c:dLbls>
        <c:marker val="1"/>
        <c:smooth val="0"/>
        <c:axId val="437199248"/>
        <c:axId val="437197680"/>
        <c:extLst>
          <c:ext xmlns:c15="http://schemas.microsoft.com/office/drawing/2012/chart" uri="{02D57815-91ED-43cb-92C2-25804820EDAC}">
            <c15:filteredLineSeries>
              <c15:ser>
                <c:idx val="3"/>
                <c:order val="1"/>
                <c:tx>
                  <c:strRef>
                    <c:extLst>
                      <c:ext uri="{02D57815-91ED-43cb-92C2-25804820EDAC}">
                        <c15:formulaRef>
                          <c15:sqref>ADT!$C$4</c15:sqref>
                        </c15:formulaRef>
                      </c:ext>
                    </c:extLst>
                    <c:strCache>
                      <c:ptCount val="1"/>
                      <c:pt idx="0">
                        <c:v>ADV of Sensex (RHS)</c:v>
                      </c:pt>
                    </c:strCache>
                  </c:strRef>
                </c:tx>
                <c:spPr>
                  <a:ln w="28575" cap="rnd">
                    <a:solidFill>
                      <a:srgbClr val="FF0000"/>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ADT!$A$8:$A$19</c15:sqref>
                        </c15:formulaRef>
                      </c:ext>
                    </c:extLst>
                    <c:numCache>
                      <c:formatCode>[$-409]mmm\-yy</c:formatCode>
                      <c:ptCount val="12"/>
                      <c:pt idx="0">
                        <c:v>44206</c:v>
                      </c:pt>
                      <c:pt idx="1">
                        <c:v>44237</c:v>
                      </c:pt>
                      <c:pt idx="2">
                        <c:v>44265</c:v>
                      </c:pt>
                      <c:pt idx="3">
                        <c:v>44296</c:v>
                      </c:pt>
                      <c:pt idx="4">
                        <c:v>44317</c:v>
                      </c:pt>
                      <c:pt idx="5">
                        <c:v>44348</c:v>
                      </c:pt>
                      <c:pt idx="6">
                        <c:v>44378</c:v>
                      </c:pt>
                      <c:pt idx="7">
                        <c:v>44409</c:v>
                      </c:pt>
                      <c:pt idx="8">
                        <c:v>44440</c:v>
                      </c:pt>
                      <c:pt idx="9">
                        <c:v>44471</c:v>
                      </c:pt>
                      <c:pt idx="10">
                        <c:v>44501</c:v>
                      </c:pt>
                      <c:pt idx="11">
                        <c:v>44531</c:v>
                      </c:pt>
                    </c:numCache>
                  </c:numRef>
                </c:cat>
                <c:val>
                  <c:numRef>
                    <c:extLst>
                      <c:ext uri="{02D57815-91ED-43cb-92C2-25804820EDAC}">
                        <c15:formulaRef>
                          <c15:sqref>ADT!$C$8:$C$19</c15:sqref>
                        </c15:formulaRef>
                      </c:ext>
                    </c:extLst>
                    <c:numCache>
                      <c:formatCode>#,##0;\-#,##0;0</c:formatCode>
                      <c:ptCount val="12"/>
                      <c:pt idx="0" formatCode="[&gt;=10000000]#\,##\,##\,##0;[&gt;=100000]#\,##\,##0;##,##0">
                        <c:v>48580.33</c:v>
                      </c:pt>
                      <c:pt idx="1">
                        <c:v>50782.818000000007</c:v>
                      </c:pt>
                      <c:pt idx="2">
                        <c:v>50782.818000000007</c:v>
                      </c:pt>
                      <c:pt idx="3">
                        <c:v>48877.900526315789</c:v>
                      </c:pt>
                      <c:pt idx="4">
                        <c:v>49822.895499999999</c:v>
                      </c:pt>
                      <c:pt idx="5">
                        <c:v>52399.699090909089</c:v>
                      </c:pt>
                      <c:pt idx="6">
                        <c:v>52694.251904761906</c:v>
                      </c:pt>
                    </c:numCache>
                  </c:numRef>
                </c:val>
                <c:smooth val="0"/>
                <c:extLst>
                  <c:ext xmlns:c16="http://schemas.microsoft.com/office/drawing/2014/chart" uri="{C3380CC4-5D6E-409C-BE32-E72D297353CC}">
                    <c16:uniqueId val="{00000002-22A1-407A-B02E-6D2834E598E5}"/>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ADT!$E$4</c15:sqref>
                        </c15:formulaRef>
                      </c:ext>
                    </c:extLst>
                    <c:strCache>
                      <c:ptCount val="1"/>
                      <c:pt idx="0">
                        <c:v>ADV of Nifty 50 (RHS)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ADT!$A$8:$A$19</c15:sqref>
                        </c15:formulaRef>
                      </c:ext>
                    </c:extLst>
                    <c:numCache>
                      <c:formatCode>[$-409]mmm\-yy</c:formatCode>
                      <c:ptCount val="12"/>
                      <c:pt idx="0">
                        <c:v>44206</c:v>
                      </c:pt>
                      <c:pt idx="1">
                        <c:v>44237</c:v>
                      </c:pt>
                      <c:pt idx="2">
                        <c:v>44265</c:v>
                      </c:pt>
                      <c:pt idx="3">
                        <c:v>44296</c:v>
                      </c:pt>
                      <c:pt idx="4">
                        <c:v>44317</c:v>
                      </c:pt>
                      <c:pt idx="5">
                        <c:v>44348</c:v>
                      </c:pt>
                      <c:pt idx="6">
                        <c:v>44378</c:v>
                      </c:pt>
                      <c:pt idx="7">
                        <c:v>44409</c:v>
                      </c:pt>
                      <c:pt idx="8">
                        <c:v>44440</c:v>
                      </c:pt>
                      <c:pt idx="9">
                        <c:v>44471</c:v>
                      </c:pt>
                      <c:pt idx="10">
                        <c:v>44501</c:v>
                      </c:pt>
                      <c:pt idx="11">
                        <c:v>44531</c:v>
                      </c:pt>
                    </c:numCache>
                  </c:numRef>
                </c:cat>
                <c:val>
                  <c:numRef>
                    <c:extLst xmlns:c15="http://schemas.microsoft.com/office/drawing/2012/chart">
                      <c:ext xmlns:c15="http://schemas.microsoft.com/office/drawing/2012/chart" uri="{02D57815-91ED-43cb-92C2-25804820EDAC}">
                        <c15:formulaRef>
                          <c15:sqref>ADT!$E$8:$E$19</c15:sqref>
                        </c15:formulaRef>
                      </c:ext>
                    </c:extLst>
                    <c:numCache>
                      <c:formatCode>[&gt;=10000000]#\,##\,##\,##0;[&gt;=100000]#\,##\,##0;##,##0</c:formatCode>
                      <c:ptCount val="12"/>
                      <c:pt idx="0">
                        <c:v>14284.602499999999</c:v>
                      </c:pt>
                      <c:pt idx="1">
                        <c:v>14956.842499999999</c:v>
                      </c:pt>
                      <c:pt idx="2">
                        <c:v>14835.099999999999</c:v>
                      </c:pt>
                      <c:pt idx="3">
                        <c:v>14613.852631578948</c:v>
                      </c:pt>
                      <c:pt idx="4">
                        <c:v>15121.611538461539</c:v>
                      </c:pt>
                      <c:pt idx="5">
                        <c:v>15733.677272727275</c:v>
                      </c:pt>
                      <c:pt idx="6">
                        <c:v>15783.097619047621</c:v>
                      </c:pt>
                      <c:pt idx="8">
                        <c:v>17058.61</c:v>
                      </c:pt>
                    </c:numCache>
                  </c:numRef>
                </c:val>
                <c:smooth val="0"/>
                <c:extLst xmlns:c15="http://schemas.microsoft.com/office/drawing/2012/chart">
                  <c:ext xmlns:c16="http://schemas.microsoft.com/office/drawing/2014/chart" uri="{C3380CC4-5D6E-409C-BE32-E72D297353CC}">
                    <c16:uniqueId val="{00000003-22A1-407A-B02E-6D2834E598E5}"/>
                  </c:ext>
                </c:extLst>
              </c15:ser>
            </c15:filteredLineSeries>
          </c:ext>
        </c:extLst>
      </c:lineChart>
      <c:dateAx>
        <c:axId val="43719924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alatino Linotype" panose="02040502050505030304" pitchFamily="18" charset="0"/>
                <a:ea typeface="+mn-ea"/>
                <a:cs typeface="+mn-cs"/>
              </a:defRPr>
            </a:pPr>
            <a:endParaRPr lang="en-US"/>
          </a:p>
        </c:txPr>
        <c:crossAx val="437197680"/>
        <c:crosses val="autoZero"/>
        <c:auto val="1"/>
        <c:lblOffset val="100"/>
        <c:baseTimeUnit val="months"/>
      </c:dateAx>
      <c:valAx>
        <c:axId val="437197680"/>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37199248"/>
        <c:crosses val="autoZero"/>
        <c:crossBetween val="between"/>
      </c:valAx>
      <c:valAx>
        <c:axId val="437198072"/>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37198464"/>
        <c:crosses val="max"/>
        <c:crossBetween val="between"/>
      </c:valAx>
      <c:dateAx>
        <c:axId val="437198464"/>
        <c:scaling>
          <c:orientation val="minMax"/>
        </c:scaling>
        <c:delete val="1"/>
        <c:axPos val="b"/>
        <c:numFmt formatCode="[$-409]mmm\-yy" sourceLinked="1"/>
        <c:majorTickMark val="out"/>
        <c:minorTickMark val="none"/>
        <c:tickLblPos val="nextTo"/>
        <c:crossAx val="437198072"/>
        <c:crosses val="autoZero"/>
        <c:auto val="1"/>
        <c:lblOffset val="100"/>
        <c:baseTimeUnit val="day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1524036469125567E-2"/>
          <c:w val="0.82362510936132982"/>
          <c:h val="0.5385510594959414"/>
        </c:manualLayout>
      </c:layout>
      <c:barChart>
        <c:barDir val="col"/>
        <c:grouping val="clustered"/>
        <c:varyColors val="0"/>
        <c:ser>
          <c:idx val="0"/>
          <c:order val="0"/>
          <c:tx>
            <c:strRef>
              <c:f>'Rtn, Volt'!$F$5</c:f>
              <c:strCache>
                <c:ptCount val="1"/>
                <c:pt idx="0">
                  <c:v>Return (LHS)</c:v>
                </c:pt>
              </c:strCache>
            </c:strRef>
          </c:tx>
          <c:spPr>
            <a:solidFill>
              <a:srgbClr val="00B050"/>
            </a:solidFill>
            <a:ln>
              <a:noFill/>
            </a:ln>
            <a:effectLst/>
          </c:spPr>
          <c:invertIfNegative val="0"/>
          <c:cat>
            <c:strRef>
              <c:f>'Rtn, Volt'!$E$8:$E$17</c:f>
              <c:strCache>
                <c:ptCount val="10"/>
                <c:pt idx="0">
                  <c:v>BSE Teck</c:v>
                </c:pt>
                <c:pt idx="1">
                  <c:v>BSE Capital Goods</c:v>
                </c:pt>
                <c:pt idx="2">
                  <c:v>BSE Metal</c:v>
                </c:pt>
                <c:pt idx="3">
                  <c:v>BSECons.Dur.</c:v>
                </c:pt>
                <c:pt idx="4">
                  <c:v>BSE Auto</c:v>
                </c:pt>
                <c:pt idx="5">
                  <c:v>BSE Realty</c:v>
                </c:pt>
                <c:pt idx="6">
                  <c:v>BSE Power</c:v>
                </c:pt>
                <c:pt idx="7">
                  <c:v>BSE Oil&amp;Gas</c:v>
                </c:pt>
                <c:pt idx="8">
                  <c:v>BSE PSU</c:v>
                </c:pt>
                <c:pt idx="9">
                  <c:v>BSE Bank</c:v>
                </c:pt>
              </c:strCache>
            </c:strRef>
          </c:cat>
          <c:val>
            <c:numRef>
              <c:f>'Rtn, Volt'!$F$8:$F$17</c:f>
              <c:numCache>
                <c:formatCode>0.00</c:formatCode>
                <c:ptCount val="10"/>
                <c:pt idx="0">
                  <c:v>8.1300000000000008</c:v>
                </c:pt>
                <c:pt idx="1">
                  <c:v>6.91</c:v>
                </c:pt>
                <c:pt idx="2">
                  <c:v>5.64</c:v>
                </c:pt>
                <c:pt idx="3">
                  <c:v>3.87</c:v>
                </c:pt>
                <c:pt idx="4">
                  <c:v>3.45</c:v>
                </c:pt>
                <c:pt idx="5">
                  <c:v>1.08</c:v>
                </c:pt>
                <c:pt idx="6">
                  <c:v>0.73</c:v>
                </c:pt>
                <c:pt idx="7">
                  <c:v>0.03</c:v>
                </c:pt>
                <c:pt idx="8">
                  <c:v>-0.13</c:v>
                </c:pt>
                <c:pt idx="9">
                  <c:v>-0.91</c:v>
                </c:pt>
              </c:numCache>
            </c:numRef>
          </c:val>
          <c:extLst>
            <c:ext xmlns:c16="http://schemas.microsoft.com/office/drawing/2014/chart" uri="{C3380CC4-5D6E-409C-BE32-E72D297353CC}">
              <c16:uniqueId val="{00000000-5A78-4288-A094-98842C10651D}"/>
            </c:ext>
          </c:extLst>
        </c:ser>
        <c:dLbls>
          <c:showLegendKey val="0"/>
          <c:showVal val="0"/>
          <c:showCatName val="0"/>
          <c:showSerName val="0"/>
          <c:showPercent val="0"/>
          <c:showBubbleSize val="0"/>
        </c:dLbls>
        <c:gapWidth val="219"/>
        <c:overlap val="-27"/>
        <c:axId val="517332896"/>
        <c:axId val="517333288"/>
      </c:barChart>
      <c:lineChart>
        <c:grouping val="standard"/>
        <c:varyColors val="0"/>
        <c:ser>
          <c:idx val="1"/>
          <c:order val="1"/>
          <c:tx>
            <c:strRef>
              <c:f>'Rtn, Volt'!$G$5</c:f>
              <c:strCache>
                <c:ptCount val="1"/>
                <c:pt idx="0">
                  <c:v>Volatility (RHS)</c:v>
                </c:pt>
              </c:strCache>
            </c:strRef>
          </c:tx>
          <c:spPr>
            <a:ln w="28575" cap="rnd">
              <a:solidFill>
                <a:srgbClr val="FF0000"/>
              </a:solidFill>
              <a:round/>
            </a:ln>
            <a:effectLst/>
          </c:spPr>
          <c:marker>
            <c:symbol val="none"/>
          </c:marker>
          <c:cat>
            <c:strRef>
              <c:f>'Rtn, Volt'!$E$8:$E$17</c:f>
              <c:strCache>
                <c:ptCount val="10"/>
                <c:pt idx="0">
                  <c:v>BSE Teck</c:v>
                </c:pt>
                <c:pt idx="1">
                  <c:v>BSE Capital Goods</c:v>
                </c:pt>
                <c:pt idx="2">
                  <c:v>BSE Metal</c:v>
                </c:pt>
                <c:pt idx="3">
                  <c:v>BSECons.Dur.</c:v>
                </c:pt>
                <c:pt idx="4">
                  <c:v>BSE Auto</c:v>
                </c:pt>
                <c:pt idx="5">
                  <c:v>BSE Realty</c:v>
                </c:pt>
                <c:pt idx="6">
                  <c:v>BSE Power</c:v>
                </c:pt>
                <c:pt idx="7">
                  <c:v>BSE Oil&amp;Gas</c:v>
                </c:pt>
                <c:pt idx="8">
                  <c:v>BSE PSU</c:v>
                </c:pt>
                <c:pt idx="9">
                  <c:v>BSE Bank</c:v>
                </c:pt>
              </c:strCache>
            </c:strRef>
          </c:cat>
          <c:val>
            <c:numRef>
              <c:f>'Rtn, Volt'!$G$8:$G$17</c:f>
              <c:numCache>
                <c:formatCode>0.00</c:formatCode>
                <c:ptCount val="10"/>
                <c:pt idx="0">
                  <c:v>1.1399999999999999</c:v>
                </c:pt>
                <c:pt idx="1">
                  <c:v>1.25</c:v>
                </c:pt>
                <c:pt idx="2">
                  <c:v>1.69</c:v>
                </c:pt>
                <c:pt idx="3">
                  <c:v>1.1499999999999999</c:v>
                </c:pt>
                <c:pt idx="4">
                  <c:v>1.36</c:v>
                </c:pt>
                <c:pt idx="5">
                  <c:v>2.11</c:v>
                </c:pt>
                <c:pt idx="6">
                  <c:v>1.27</c:v>
                </c:pt>
                <c:pt idx="7">
                  <c:v>1.49</c:v>
                </c:pt>
                <c:pt idx="8">
                  <c:v>1.47</c:v>
                </c:pt>
                <c:pt idx="9">
                  <c:v>1.39</c:v>
                </c:pt>
              </c:numCache>
            </c:numRef>
          </c:val>
          <c:smooth val="0"/>
          <c:extLst>
            <c:ext xmlns:c16="http://schemas.microsoft.com/office/drawing/2014/chart" uri="{C3380CC4-5D6E-409C-BE32-E72D297353CC}">
              <c16:uniqueId val="{00000001-5A78-4288-A094-98842C10651D}"/>
            </c:ext>
          </c:extLst>
        </c:ser>
        <c:dLbls>
          <c:showLegendKey val="0"/>
          <c:showVal val="0"/>
          <c:showCatName val="0"/>
          <c:showSerName val="0"/>
          <c:showPercent val="0"/>
          <c:showBubbleSize val="0"/>
        </c:dLbls>
        <c:marker val="1"/>
        <c:smooth val="0"/>
        <c:axId val="517333680"/>
        <c:axId val="517335640"/>
      </c:lineChart>
      <c:catAx>
        <c:axId val="517332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17333288"/>
        <c:crosses val="autoZero"/>
        <c:auto val="1"/>
        <c:lblAlgn val="ctr"/>
        <c:lblOffset val="100"/>
        <c:noMultiLvlLbl val="0"/>
      </c:catAx>
      <c:valAx>
        <c:axId val="517333288"/>
        <c:scaling>
          <c:orientation val="minMax"/>
          <c:max val="18"/>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17332896"/>
        <c:crosses val="autoZero"/>
        <c:crossBetween val="between"/>
      </c:valAx>
      <c:valAx>
        <c:axId val="5173356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17333680"/>
        <c:crosses val="max"/>
        <c:crossBetween val="between"/>
        <c:majorUnit val="0.5"/>
      </c:valAx>
      <c:catAx>
        <c:axId val="517333680"/>
        <c:scaling>
          <c:orientation val="minMax"/>
        </c:scaling>
        <c:delete val="1"/>
        <c:axPos val="b"/>
        <c:numFmt formatCode="General" sourceLinked="1"/>
        <c:majorTickMark val="out"/>
        <c:minorTickMark val="none"/>
        <c:tickLblPos val="nextTo"/>
        <c:crossAx val="517335640"/>
        <c:crosses val="autoZero"/>
        <c:auto val="1"/>
        <c:lblAlgn val="ctr"/>
        <c:lblOffset val="100"/>
        <c:noMultiLvlLbl val="0"/>
      </c:catAx>
      <c:spPr>
        <a:noFill/>
        <a:ln>
          <a:solidFill>
            <a:sysClr val="window" lastClr="FFFFFF">
              <a:lumMod val="65000"/>
            </a:sysClr>
          </a:solidFill>
        </a:ln>
        <a:effectLst/>
      </c:spPr>
    </c:plotArea>
    <c:legend>
      <c:legendPos val="b"/>
      <c:layout>
        <c:manualLayout>
          <c:xMode val="edge"/>
          <c:yMode val="edge"/>
          <c:x val="0.27430122225597919"/>
          <c:y val="0.86225527962850801"/>
          <c:w val="0.4960808735333041"/>
          <c:h val="9.966537966537966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4386482939632545E-2"/>
          <c:w val="0.82362510936132982"/>
          <c:h val="0.59328943312690896"/>
        </c:manualLayout>
      </c:layout>
      <c:barChart>
        <c:barDir val="col"/>
        <c:grouping val="clustered"/>
        <c:varyColors val="0"/>
        <c:ser>
          <c:idx val="0"/>
          <c:order val="0"/>
          <c:tx>
            <c:strRef>
              <c:f>'Rtn, Volt'!$B$5</c:f>
              <c:strCache>
                <c:ptCount val="1"/>
                <c:pt idx="0">
                  <c:v>Return (LHS)</c:v>
                </c:pt>
              </c:strCache>
            </c:strRef>
          </c:tx>
          <c:spPr>
            <a:solidFill>
              <a:srgbClr val="00B050"/>
            </a:solidFill>
            <a:ln>
              <a:noFill/>
            </a:ln>
            <a:effectLst/>
          </c:spPr>
          <c:invertIfNegative val="0"/>
          <c:cat>
            <c:strRef>
              <c:f>'Rtn, Volt'!$A$8:$A$17</c:f>
              <c:strCache>
                <c:ptCount val="10"/>
                <c:pt idx="0">
                  <c:v>NIFTY IT</c:v>
                </c:pt>
                <c:pt idx="1">
                  <c:v>NIFTY Pharma</c:v>
                </c:pt>
                <c:pt idx="2">
                  <c:v>NIFTY Service Sector</c:v>
                </c:pt>
                <c:pt idx="3">
                  <c:v>NIFTY FMCG</c:v>
                </c:pt>
                <c:pt idx="4">
                  <c:v>NIFTY PSE</c:v>
                </c:pt>
                <c:pt idx="5">
                  <c:v>NIFTY Infra</c:v>
                </c:pt>
                <c:pt idx="6">
                  <c:v>NIFTY Bank</c:v>
                </c:pt>
                <c:pt idx="7">
                  <c:v>NIFTY Realty</c:v>
                </c:pt>
                <c:pt idx="8">
                  <c:v>NIFTY Energy</c:v>
                </c:pt>
                <c:pt idx="9">
                  <c:v>NIFTY PSU</c:v>
                </c:pt>
              </c:strCache>
            </c:strRef>
          </c:cat>
          <c:val>
            <c:numRef>
              <c:f>'Rtn, Volt'!$B$8:$B$17</c:f>
              <c:numCache>
                <c:formatCode>0.00</c:formatCode>
                <c:ptCount val="10"/>
                <c:pt idx="0">
                  <c:v>10.47</c:v>
                </c:pt>
                <c:pt idx="1">
                  <c:v>4.0999999999999996</c:v>
                </c:pt>
                <c:pt idx="2">
                  <c:v>1.66</c:v>
                </c:pt>
                <c:pt idx="3">
                  <c:v>0.52</c:v>
                </c:pt>
                <c:pt idx="4">
                  <c:v>0.39789999999999998</c:v>
                </c:pt>
                <c:pt idx="5">
                  <c:v>-0.19</c:v>
                </c:pt>
                <c:pt idx="6">
                  <c:v>-0.59799999999999998</c:v>
                </c:pt>
                <c:pt idx="7">
                  <c:v>-0.71</c:v>
                </c:pt>
                <c:pt idx="8">
                  <c:v>-0.84</c:v>
                </c:pt>
                <c:pt idx="9">
                  <c:v>-1.1599999999999999</c:v>
                </c:pt>
              </c:numCache>
            </c:numRef>
          </c:val>
          <c:extLst>
            <c:ext xmlns:c16="http://schemas.microsoft.com/office/drawing/2014/chart" uri="{C3380CC4-5D6E-409C-BE32-E72D297353CC}">
              <c16:uniqueId val="{00000000-D732-4D21-8DFF-6901EDCF546B}"/>
            </c:ext>
          </c:extLst>
        </c:ser>
        <c:dLbls>
          <c:showLegendKey val="0"/>
          <c:showVal val="0"/>
          <c:showCatName val="0"/>
          <c:showSerName val="0"/>
          <c:showPercent val="0"/>
          <c:showBubbleSize val="0"/>
        </c:dLbls>
        <c:gapWidth val="219"/>
        <c:overlap val="-27"/>
        <c:axId val="517334072"/>
        <c:axId val="517334464"/>
      </c:barChart>
      <c:lineChart>
        <c:grouping val="standard"/>
        <c:varyColors val="0"/>
        <c:ser>
          <c:idx val="1"/>
          <c:order val="1"/>
          <c:tx>
            <c:strRef>
              <c:f>'Rtn, Volt'!$C$5</c:f>
              <c:strCache>
                <c:ptCount val="1"/>
                <c:pt idx="0">
                  <c:v>Volatility (RHS)</c:v>
                </c:pt>
              </c:strCache>
            </c:strRef>
          </c:tx>
          <c:spPr>
            <a:ln w="28575" cap="rnd">
              <a:solidFill>
                <a:srgbClr val="FF0000"/>
              </a:solidFill>
              <a:round/>
            </a:ln>
            <a:effectLst/>
          </c:spPr>
          <c:marker>
            <c:symbol val="none"/>
          </c:marker>
          <c:cat>
            <c:strRef>
              <c:f>'Rtn, Volt'!$A$8:$A$17</c:f>
              <c:strCache>
                <c:ptCount val="10"/>
                <c:pt idx="0">
                  <c:v>NIFTY IT</c:v>
                </c:pt>
                <c:pt idx="1">
                  <c:v>NIFTY Pharma</c:v>
                </c:pt>
                <c:pt idx="2">
                  <c:v>NIFTY Service Sector</c:v>
                </c:pt>
                <c:pt idx="3">
                  <c:v>NIFTY FMCG</c:v>
                </c:pt>
                <c:pt idx="4">
                  <c:v>NIFTY PSE</c:v>
                </c:pt>
                <c:pt idx="5">
                  <c:v>NIFTY Infra</c:v>
                </c:pt>
                <c:pt idx="6">
                  <c:v>NIFTY Bank</c:v>
                </c:pt>
                <c:pt idx="7">
                  <c:v>NIFTY Realty</c:v>
                </c:pt>
                <c:pt idx="8">
                  <c:v>NIFTY Energy</c:v>
                </c:pt>
                <c:pt idx="9">
                  <c:v>NIFTY PSU</c:v>
                </c:pt>
              </c:strCache>
            </c:strRef>
          </c:cat>
          <c:val>
            <c:numRef>
              <c:f>'Rtn, Volt'!$C$8:$C$17</c:f>
              <c:numCache>
                <c:formatCode>0.00</c:formatCode>
                <c:ptCount val="10"/>
                <c:pt idx="0">
                  <c:v>1.28</c:v>
                </c:pt>
                <c:pt idx="1">
                  <c:v>1.1100000000000001</c:v>
                </c:pt>
                <c:pt idx="2">
                  <c:v>1.1399999999999999</c:v>
                </c:pt>
                <c:pt idx="3">
                  <c:v>1.05</c:v>
                </c:pt>
                <c:pt idx="4">
                  <c:v>1.36</c:v>
                </c:pt>
                <c:pt idx="5">
                  <c:v>1.29</c:v>
                </c:pt>
                <c:pt idx="6">
                  <c:v>1.4</c:v>
                </c:pt>
                <c:pt idx="7">
                  <c:v>2.11</c:v>
                </c:pt>
                <c:pt idx="8">
                  <c:v>1.29</c:v>
                </c:pt>
                <c:pt idx="9">
                  <c:v>2.02</c:v>
                </c:pt>
              </c:numCache>
            </c:numRef>
          </c:val>
          <c:smooth val="0"/>
          <c:extLst>
            <c:ext xmlns:c16="http://schemas.microsoft.com/office/drawing/2014/chart" uri="{C3380CC4-5D6E-409C-BE32-E72D297353CC}">
              <c16:uniqueId val="{00000001-D732-4D21-8DFF-6901EDCF546B}"/>
            </c:ext>
          </c:extLst>
        </c:ser>
        <c:dLbls>
          <c:showLegendKey val="0"/>
          <c:showVal val="0"/>
          <c:showCatName val="0"/>
          <c:showSerName val="0"/>
          <c:showPercent val="0"/>
          <c:showBubbleSize val="0"/>
        </c:dLbls>
        <c:marker val="1"/>
        <c:smooth val="0"/>
        <c:axId val="578437952"/>
        <c:axId val="517335248"/>
      </c:lineChart>
      <c:catAx>
        <c:axId val="517334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17334464"/>
        <c:crosses val="autoZero"/>
        <c:auto val="1"/>
        <c:lblAlgn val="ctr"/>
        <c:lblOffset val="100"/>
        <c:noMultiLvlLbl val="0"/>
      </c:catAx>
      <c:valAx>
        <c:axId val="517334464"/>
        <c:scaling>
          <c:orientation val="minMax"/>
          <c:max val="16"/>
          <c:min val="-1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17334072"/>
        <c:crosses val="autoZero"/>
        <c:crossBetween val="between"/>
      </c:valAx>
      <c:valAx>
        <c:axId val="517335248"/>
        <c:scaling>
          <c:orientation val="minMax"/>
          <c:min val="-1"/>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8437952"/>
        <c:crosses val="max"/>
        <c:crossBetween val="between"/>
      </c:valAx>
      <c:catAx>
        <c:axId val="578437952"/>
        <c:scaling>
          <c:orientation val="minMax"/>
        </c:scaling>
        <c:delete val="1"/>
        <c:axPos val="b"/>
        <c:numFmt formatCode="General" sourceLinked="1"/>
        <c:majorTickMark val="out"/>
        <c:minorTickMark val="none"/>
        <c:tickLblPos val="nextTo"/>
        <c:crossAx val="517335248"/>
        <c:crossesAt val="0"/>
        <c:auto val="1"/>
        <c:lblAlgn val="ctr"/>
        <c:lblOffset val="100"/>
        <c:noMultiLvlLbl val="0"/>
      </c:catAx>
      <c:spPr>
        <a:noFill/>
        <a:ln>
          <a:solidFill>
            <a:schemeClr val="bg1">
              <a:lumMod val="65000"/>
            </a:scheme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02201170888683E-2"/>
          <c:y val="7.710296684118674E-2"/>
          <c:w val="0.92324861451892737"/>
          <c:h val="0.67900380165483798"/>
        </c:manualLayout>
      </c:layout>
      <c:barChart>
        <c:barDir val="col"/>
        <c:grouping val="clustered"/>
        <c:varyColors val="0"/>
        <c:ser>
          <c:idx val="0"/>
          <c:order val="0"/>
          <c:tx>
            <c:strRef>
              <c:f>Sheet1!$G$2</c:f>
              <c:strCache>
                <c:ptCount val="1"/>
                <c:pt idx="0">
                  <c:v>NSDL</c:v>
                </c:pt>
              </c:strCache>
            </c:strRef>
          </c:tx>
          <c:spPr>
            <a:solidFill>
              <a:schemeClr val="accent1"/>
            </a:solidFill>
            <a:ln>
              <a:noFill/>
            </a:ln>
            <a:effectLst/>
          </c:spPr>
          <c:invertIfNegative val="0"/>
          <c:cat>
            <c:numRef>
              <c:f>Sheet1!$F$71:$F$83</c:f>
              <c:numCache>
                <c:formatCode>mmm\-yy</c:formatCode>
                <c:ptCount val="13"/>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numCache>
            </c:numRef>
          </c:cat>
          <c:val>
            <c:numRef>
              <c:f>Sheet1!$G$71:$G$83</c:f>
              <c:numCache>
                <c:formatCode>0.0</c:formatCode>
                <c:ptCount val="13"/>
                <c:pt idx="0">
                  <c:v>2</c:v>
                </c:pt>
                <c:pt idx="1">
                  <c:v>2</c:v>
                </c:pt>
                <c:pt idx="2">
                  <c:v>2</c:v>
                </c:pt>
                <c:pt idx="3">
                  <c:v>4</c:v>
                </c:pt>
                <c:pt idx="4">
                  <c:v>2</c:v>
                </c:pt>
                <c:pt idx="5">
                  <c:v>2</c:v>
                </c:pt>
                <c:pt idx="6">
                  <c:v>4</c:v>
                </c:pt>
                <c:pt idx="7">
                  <c:v>3</c:v>
                </c:pt>
                <c:pt idx="8">
                  <c:v>5</c:v>
                </c:pt>
                <c:pt idx="9">
                  <c:v>5</c:v>
                </c:pt>
                <c:pt idx="10">
                  <c:v>4</c:v>
                </c:pt>
                <c:pt idx="11">
                  <c:v>4</c:v>
                </c:pt>
                <c:pt idx="12">
                  <c:v>4</c:v>
                </c:pt>
              </c:numCache>
            </c:numRef>
          </c:val>
          <c:extLst>
            <c:ext xmlns:c16="http://schemas.microsoft.com/office/drawing/2014/chart" uri="{C3380CC4-5D6E-409C-BE32-E72D297353CC}">
              <c16:uniqueId val="{00000000-A83F-4B12-BBB9-1C9A7E358BA9}"/>
            </c:ext>
          </c:extLst>
        </c:ser>
        <c:ser>
          <c:idx val="1"/>
          <c:order val="1"/>
          <c:tx>
            <c:strRef>
              <c:f>Sheet1!$H$2</c:f>
              <c:strCache>
                <c:ptCount val="1"/>
                <c:pt idx="0">
                  <c:v>CDSL</c:v>
                </c:pt>
              </c:strCache>
            </c:strRef>
          </c:tx>
          <c:spPr>
            <a:solidFill>
              <a:schemeClr val="accent2"/>
            </a:solidFill>
            <a:ln>
              <a:noFill/>
            </a:ln>
            <a:effectLst/>
          </c:spPr>
          <c:invertIfNegative val="0"/>
          <c:cat>
            <c:numRef>
              <c:f>Sheet1!$F$71:$F$83</c:f>
              <c:numCache>
                <c:formatCode>mmm\-yy</c:formatCode>
                <c:ptCount val="13"/>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numCache>
            </c:numRef>
          </c:cat>
          <c:val>
            <c:numRef>
              <c:f>Sheet1!$H$71:$H$83</c:f>
              <c:numCache>
                <c:formatCode>0.0</c:formatCode>
                <c:ptCount val="13"/>
                <c:pt idx="0">
                  <c:v>10</c:v>
                </c:pt>
                <c:pt idx="1">
                  <c:v>15</c:v>
                </c:pt>
                <c:pt idx="2">
                  <c:v>14</c:v>
                </c:pt>
                <c:pt idx="3">
                  <c:v>16</c:v>
                </c:pt>
                <c:pt idx="4">
                  <c:v>17</c:v>
                </c:pt>
                <c:pt idx="5">
                  <c:v>24</c:v>
                </c:pt>
                <c:pt idx="6">
                  <c:v>21.5</c:v>
                </c:pt>
                <c:pt idx="7">
                  <c:v>22.5</c:v>
                </c:pt>
                <c:pt idx="8">
                  <c:v>22</c:v>
                </c:pt>
                <c:pt idx="9">
                  <c:v>24</c:v>
                </c:pt>
                <c:pt idx="10">
                  <c:v>31</c:v>
                </c:pt>
                <c:pt idx="11">
                  <c:v>30</c:v>
                </c:pt>
                <c:pt idx="12">
                  <c:v>30</c:v>
                </c:pt>
              </c:numCache>
            </c:numRef>
          </c:val>
          <c:extLst>
            <c:ext xmlns:c16="http://schemas.microsoft.com/office/drawing/2014/chart" uri="{C3380CC4-5D6E-409C-BE32-E72D297353CC}">
              <c16:uniqueId val="{00000001-A83F-4B12-BBB9-1C9A7E358BA9}"/>
            </c:ext>
          </c:extLst>
        </c:ser>
        <c:dLbls>
          <c:showLegendKey val="0"/>
          <c:showVal val="0"/>
          <c:showCatName val="0"/>
          <c:showSerName val="0"/>
          <c:showPercent val="0"/>
          <c:showBubbleSize val="0"/>
        </c:dLbls>
        <c:gapWidth val="219"/>
        <c:axId val="405195247"/>
        <c:axId val="405196911"/>
      </c:barChart>
      <c:dateAx>
        <c:axId val="405195247"/>
        <c:scaling>
          <c:orientation val="minMax"/>
          <c:min val="44197"/>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405196911"/>
        <c:crosses val="autoZero"/>
        <c:auto val="0"/>
        <c:lblOffset val="100"/>
        <c:baseTimeUnit val="months"/>
      </c:dateAx>
      <c:valAx>
        <c:axId val="4051969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405195247"/>
        <c:crossesAt val="43891"/>
        <c:crossBetween val="between"/>
      </c:valAx>
      <c:spPr>
        <a:noFill/>
        <a:ln>
          <a:solidFill>
            <a:schemeClr val="bg1">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67003088702309987"/>
        </c:manualLayout>
      </c:layout>
      <c:barChart>
        <c:barDir val="col"/>
        <c:grouping val="clustered"/>
        <c:varyColors val="0"/>
        <c:ser>
          <c:idx val="1"/>
          <c:order val="1"/>
          <c:tx>
            <c:strRef>
              <c:f>ADNT!$C$1</c:f>
              <c:strCache>
                <c:ptCount val="1"/>
                <c:pt idx="0">
                  <c:v>ADNT at NSE (RHS)</c:v>
                </c:pt>
              </c:strCache>
            </c:strRef>
          </c:tx>
          <c:spPr>
            <a:solidFill>
              <a:srgbClr val="00B050"/>
            </a:solidFill>
            <a:ln>
              <a:noFill/>
            </a:ln>
            <a:effectLst/>
          </c:spPr>
          <c:invertIfNegative val="0"/>
          <c:cat>
            <c:numRef>
              <c:f>ADNT!$A$6:$A$17</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ADNT!$C$6:$C$17</c:f>
              <c:numCache>
                <c:formatCode>[&gt;=10000000]#\,##\,##\,##0;[&gt;=100000]#\,##\,##0;##,##0</c:formatCode>
                <c:ptCount val="12"/>
                <c:pt idx="0">
                  <c:v>3595657.0081937932</c:v>
                </c:pt>
                <c:pt idx="1">
                  <c:v>4301098.4515000004</c:v>
                </c:pt>
                <c:pt idx="2">
                  <c:v>4438327.3871428566</c:v>
                </c:pt>
                <c:pt idx="3">
                  <c:v>4665024.3789473688</c:v>
                </c:pt>
                <c:pt idx="4">
                  <c:v>4332641.5880000005</c:v>
                </c:pt>
                <c:pt idx="5">
                  <c:v>4608723.0909090908</c:v>
                </c:pt>
                <c:pt idx="6">
                  <c:v>5386820.5952380951</c:v>
                </c:pt>
                <c:pt idx="7" formatCode="_(* #,##0_);_(* \(#,##0\);_(* &quot;-&quot;??_);_(@_)">
                  <c:v>5739759</c:v>
                </c:pt>
                <c:pt idx="8" formatCode="_(* #,##0_);_(* \(#,##0\);_(* &quot;-&quot;??_);_(@_)">
                  <c:v>6860710.1618907135</c:v>
                </c:pt>
                <c:pt idx="9" formatCode="_(* #,##0_);_(* \(#,##0\);_(* &quot;-&quot;??_);_(@_)">
                  <c:v>7019570.4000000004</c:v>
                </c:pt>
                <c:pt idx="10" formatCode="_(* #,##0_);_(* \(#,##0\);_(* &quot;-&quot;??_);_(@_)">
                  <c:v>7312334.5</c:v>
                </c:pt>
                <c:pt idx="11" formatCode="_(* #,##0_);_(* \(#,##0\);_(* &quot;-&quot;??_);_(@_)">
                  <c:v>7553061</c:v>
                </c:pt>
              </c:numCache>
            </c:numRef>
          </c:val>
          <c:extLst>
            <c:ext xmlns:c16="http://schemas.microsoft.com/office/drawing/2014/chart" uri="{C3380CC4-5D6E-409C-BE32-E72D297353CC}">
              <c16:uniqueId val="{00000000-D41A-47FD-93E3-5D4161D4BAAD}"/>
            </c:ext>
          </c:extLst>
        </c:ser>
        <c:dLbls>
          <c:showLegendKey val="0"/>
          <c:showVal val="0"/>
          <c:showCatName val="0"/>
          <c:showSerName val="0"/>
          <c:showPercent val="0"/>
          <c:showBubbleSize val="0"/>
        </c:dLbls>
        <c:gapWidth val="219"/>
        <c:overlap val="-27"/>
        <c:axId val="435314088"/>
        <c:axId val="435312520"/>
      </c:barChart>
      <c:lineChart>
        <c:grouping val="standard"/>
        <c:varyColors val="0"/>
        <c:ser>
          <c:idx val="0"/>
          <c:order val="0"/>
          <c:tx>
            <c:strRef>
              <c:f>ADNT!$B$1</c:f>
              <c:strCache>
                <c:ptCount val="1"/>
                <c:pt idx="0">
                  <c:v>ADNT at BSE (LHS)</c:v>
                </c:pt>
              </c:strCache>
            </c:strRef>
          </c:tx>
          <c:spPr>
            <a:ln w="28575" cap="rnd">
              <a:solidFill>
                <a:srgbClr val="C00000"/>
              </a:solidFill>
              <a:round/>
            </a:ln>
            <a:effectLst/>
          </c:spPr>
          <c:marker>
            <c:symbol val="none"/>
          </c:marker>
          <c:cat>
            <c:numRef>
              <c:f>ADNT!$A$6:$A$17</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ADNT!$B$6:$B$17</c:f>
              <c:numCache>
                <c:formatCode>#,##0</c:formatCode>
                <c:ptCount val="12"/>
                <c:pt idx="0">
                  <c:v>246651.46454715001</c:v>
                </c:pt>
                <c:pt idx="1">
                  <c:v>291858.57797283505</c:v>
                </c:pt>
                <c:pt idx="2">
                  <c:v>295833.62791219522</c:v>
                </c:pt>
                <c:pt idx="3">
                  <c:v>317790.11645149474</c:v>
                </c:pt>
                <c:pt idx="4">
                  <c:v>323982.19198160624</c:v>
                </c:pt>
                <c:pt idx="5">
                  <c:v>303244.85652462277</c:v>
                </c:pt>
                <c:pt idx="6">
                  <c:v>302849.34979702381</c:v>
                </c:pt>
                <c:pt idx="7">
                  <c:v>303377.24</c:v>
                </c:pt>
                <c:pt idx="8">
                  <c:v>162415.96650452382</c:v>
                </c:pt>
                <c:pt idx="9">
                  <c:v>230084.4</c:v>
                </c:pt>
                <c:pt idx="10">
                  <c:v>254708.6</c:v>
                </c:pt>
                <c:pt idx="11">
                  <c:v>257503.52173913043</c:v>
                </c:pt>
              </c:numCache>
            </c:numRef>
          </c:val>
          <c:smooth val="0"/>
          <c:extLst>
            <c:ext xmlns:c16="http://schemas.microsoft.com/office/drawing/2014/chart" uri="{C3380CC4-5D6E-409C-BE32-E72D297353CC}">
              <c16:uniqueId val="{00000001-D41A-47FD-93E3-5D4161D4BAAD}"/>
            </c:ext>
          </c:extLst>
        </c:ser>
        <c:dLbls>
          <c:showLegendKey val="0"/>
          <c:showVal val="0"/>
          <c:showCatName val="0"/>
          <c:showSerName val="0"/>
          <c:showPercent val="0"/>
          <c:showBubbleSize val="0"/>
        </c:dLbls>
        <c:marker val="1"/>
        <c:smooth val="0"/>
        <c:axId val="435310560"/>
        <c:axId val="435310952"/>
      </c:lineChart>
      <c:dateAx>
        <c:axId val="43531056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35310952"/>
        <c:crosses val="autoZero"/>
        <c:auto val="1"/>
        <c:lblOffset val="100"/>
        <c:baseTimeUnit val="months"/>
      </c:dateAx>
      <c:valAx>
        <c:axId val="4353109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35310560"/>
        <c:crosses val="autoZero"/>
        <c:crossBetween val="between"/>
      </c:valAx>
      <c:valAx>
        <c:axId val="435312520"/>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35314088"/>
        <c:crosses val="max"/>
        <c:crossBetween val="between"/>
      </c:valAx>
      <c:dateAx>
        <c:axId val="435314088"/>
        <c:scaling>
          <c:orientation val="minMax"/>
        </c:scaling>
        <c:delete val="1"/>
        <c:axPos val="b"/>
        <c:numFmt formatCode="[$-409]mmm\-yy" sourceLinked="1"/>
        <c:majorTickMark val="out"/>
        <c:minorTickMark val="none"/>
        <c:tickLblPos val="nextTo"/>
        <c:crossAx val="435312520"/>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3028303894446"/>
          <c:y val="5.4292215724884213E-2"/>
          <c:w val="0.75736946395214111"/>
          <c:h val="0.62586375083681345"/>
        </c:manualLayout>
      </c:layout>
      <c:lineChart>
        <c:grouping val="standard"/>
        <c:varyColors val="0"/>
        <c:ser>
          <c:idx val="0"/>
          <c:order val="0"/>
          <c:tx>
            <c:strRef>
              <c:f>CD!$B$3</c:f>
              <c:strCache>
                <c:ptCount val="1"/>
                <c:pt idx="0">
                  <c:v>BSE  (LHS)</c:v>
                </c:pt>
              </c:strCache>
            </c:strRef>
          </c:tx>
          <c:spPr>
            <a:ln w="28575" cap="rnd">
              <a:solidFill>
                <a:srgbClr val="ED7D31"/>
              </a:solidFill>
              <a:round/>
            </a:ln>
            <a:effectLst/>
          </c:spPr>
          <c:marker>
            <c:symbol val="none"/>
          </c:marker>
          <c:cat>
            <c:numRef>
              <c:f>CD!$A$7:$A$18</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CD!$B$7:$B$18</c:f>
              <c:numCache>
                <c:formatCode>0\,00\,000;\-0\,00\,000;0</c:formatCode>
                <c:ptCount val="12"/>
                <c:pt idx="0" formatCode="#,##0">
                  <c:v>440262.21429999999</c:v>
                </c:pt>
                <c:pt idx="1">
                  <c:v>449170.83260000002</c:v>
                </c:pt>
                <c:pt idx="2">
                  <c:v>563283.70030000003</c:v>
                </c:pt>
                <c:pt idx="3">
                  <c:v>448635.7488</c:v>
                </c:pt>
                <c:pt idx="4">
                  <c:v>417945.56279999996</c:v>
                </c:pt>
                <c:pt idx="5">
                  <c:v>503265.83970000001</c:v>
                </c:pt>
                <c:pt idx="6" formatCode="[&gt;=10000000]#\,##\,##\,##0;[&gt;=100000]#\,##\,##0;##,##0">
                  <c:v>500963.52590000007</c:v>
                </c:pt>
                <c:pt idx="7" formatCode="[&gt;=10000000]#\,##\,##\,##0;[&gt;=100000]#\,##\,##0;##,##0">
                  <c:v>478902.13159999996</c:v>
                </c:pt>
                <c:pt idx="8" formatCode="[&gt;=10000000]#\,##\,##\,##0;[&gt;=100000]#\,##\,##0;##,##0">
                  <c:v>531555.85820000002</c:v>
                </c:pt>
                <c:pt idx="9" formatCode="[&gt;=10000000]#\,##\,##\,##0;[&gt;=100000]#\,##\,##0;##,##0">
                  <c:v>515735.00710000005</c:v>
                </c:pt>
                <c:pt idx="10" formatCode="_(* #,##0_);_(* \(#,##0\);_(* &quot;-&quot;??_);_(@_)">
                  <c:v>527481.43999999994</c:v>
                </c:pt>
                <c:pt idx="11" formatCode="[&gt;=10000000]#\,##\,##\,##0;[&gt;=100000]#\,##\,##0;##,##0">
                  <c:v>638502.38</c:v>
                </c:pt>
              </c:numCache>
            </c:numRef>
          </c:val>
          <c:smooth val="0"/>
          <c:extLst>
            <c:ext xmlns:c16="http://schemas.microsoft.com/office/drawing/2014/chart" uri="{C3380CC4-5D6E-409C-BE32-E72D297353CC}">
              <c16:uniqueId val="{00000000-2672-495E-942A-9D46485A2C58}"/>
            </c:ext>
          </c:extLst>
        </c:ser>
        <c:ser>
          <c:idx val="1"/>
          <c:order val="1"/>
          <c:tx>
            <c:strRef>
              <c:f>CD!$C$3</c:f>
              <c:strCache>
                <c:ptCount val="1"/>
                <c:pt idx="0">
                  <c:v>NSE (LHS)</c:v>
                </c:pt>
              </c:strCache>
            </c:strRef>
          </c:tx>
          <c:spPr>
            <a:ln w="28575" cap="rnd">
              <a:solidFill>
                <a:srgbClr val="0070C0"/>
              </a:solidFill>
              <a:round/>
            </a:ln>
            <a:effectLst/>
          </c:spPr>
          <c:marker>
            <c:symbol val="none"/>
          </c:marker>
          <c:cat>
            <c:numRef>
              <c:f>CD!$A$7:$A$18</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CD!$C$7:$C$18</c:f>
              <c:numCache>
                <c:formatCode>0\,00\,000;\-0\,00\,000;0</c:formatCode>
                <c:ptCount val="12"/>
                <c:pt idx="0">
                  <c:v>1001205.5174880214</c:v>
                </c:pt>
                <c:pt idx="1">
                  <c:v>1082488.916</c:v>
                </c:pt>
                <c:pt idx="2">
                  <c:v>1444570.959</c:v>
                </c:pt>
                <c:pt idx="3">
                  <c:v>1490637.77</c:v>
                </c:pt>
                <c:pt idx="4">
                  <c:v>1105377.56</c:v>
                </c:pt>
                <c:pt idx="5">
                  <c:v>1378693.62</c:v>
                </c:pt>
                <c:pt idx="6" formatCode="[&gt;=10000000]#\,##\,##\,##0;[&gt;=100000]#\,##\,##0;##,##0">
                  <c:v>1386768.69</c:v>
                </c:pt>
                <c:pt idx="7" formatCode="[&gt;=10000000]#\,##\,##\,##0;[&gt;=100000]#\,##\,##0;##,##0">
                  <c:v>1076862.0382310494</c:v>
                </c:pt>
                <c:pt idx="8" formatCode="[&gt;=10000000]#\,##\,##\,##0;[&gt;=100000]#\,##\,##0;##,##0">
                  <c:v>1489316.15</c:v>
                </c:pt>
                <c:pt idx="9" formatCode="[&gt;=10000000]#\,##\,##\,##0;[&gt;=100000]#\,##\,##0;##,##0">
                  <c:v>1737277.2801382274</c:v>
                </c:pt>
                <c:pt idx="10" formatCode="_(* #,##0_);_(* \(#,##0\);_(* &quot;-&quot;??_);_(@_)">
                  <c:v>1619217.61</c:v>
                </c:pt>
                <c:pt idx="11" formatCode="[&gt;=10000000]#\,##\,##\,##0;[&gt;=100000]#\,##\,##0;##,##0">
                  <c:v>2326399.94</c:v>
                </c:pt>
              </c:numCache>
            </c:numRef>
          </c:val>
          <c:smooth val="0"/>
          <c:extLst>
            <c:ext xmlns:c16="http://schemas.microsoft.com/office/drawing/2014/chart" uri="{C3380CC4-5D6E-409C-BE32-E72D297353CC}">
              <c16:uniqueId val="{00000001-2672-495E-942A-9D46485A2C58}"/>
            </c:ext>
          </c:extLst>
        </c:ser>
        <c:dLbls>
          <c:showLegendKey val="0"/>
          <c:showVal val="0"/>
          <c:showCatName val="0"/>
          <c:showSerName val="0"/>
          <c:showPercent val="0"/>
          <c:showBubbleSize val="0"/>
        </c:dLbls>
        <c:marker val="1"/>
        <c:smooth val="0"/>
        <c:axId val="435314872"/>
        <c:axId val="435315656"/>
      </c:lineChart>
      <c:lineChart>
        <c:grouping val="standard"/>
        <c:varyColors val="0"/>
        <c:ser>
          <c:idx val="3"/>
          <c:order val="2"/>
          <c:tx>
            <c:strRef>
              <c:f>CD!$D$3</c:f>
              <c:strCache>
                <c:ptCount val="1"/>
                <c:pt idx="0">
                  <c:v>MSEI (RHS)</c:v>
                </c:pt>
              </c:strCache>
            </c:strRef>
          </c:tx>
          <c:spPr>
            <a:ln w="28575" cap="rnd">
              <a:solidFill>
                <a:srgbClr val="00B050"/>
              </a:solidFill>
              <a:round/>
            </a:ln>
            <a:effectLst/>
          </c:spPr>
          <c:marker>
            <c:symbol val="none"/>
          </c:marker>
          <c:cat>
            <c:numRef>
              <c:f>CD!$A$7:$A$18</c:f>
              <c:numCache>
                <c:formatCode>[$-409]mmm\-yy</c:formatCode>
                <c:ptCount val="12"/>
                <c:pt idx="0">
                  <c:v>44206</c:v>
                </c:pt>
                <c:pt idx="1">
                  <c:v>44237</c:v>
                </c:pt>
                <c:pt idx="2">
                  <c:v>44265</c:v>
                </c:pt>
                <c:pt idx="3">
                  <c:v>44296</c:v>
                </c:pt>
                <c:pt idx="4">
                  <c:v>44317</c:v>
                </c:pt>
                <c:pt idx="5">
                  <c:v>44348</c:v>
                </c:pt>
                <c:pt idx="6">
                  <c:v>44378</c:v>
                </c:pt>
                <c:pt idx="7">
                  <c:v>44409</c:v>
                </c:pt>
                <c:pt idx="8">
                  <c:v>44440</c:v>
                </c:pt>
                <c:pt idx="9">
                  <c:v>44470</c:v>
                </c:pt>
                <c:pt idx="10">
                  <c:v>44501</c:v>
                </c:pt>
                <c:pt idx="11">
                  <c:v>44531</c:v>
                </c:pt>
              </c:numCache>
            </c:numRef>
          </c:cat>
          <c:val>
            <c:numRef>
              <c:f>CD!$D$7:$D$18</c:f>
              <c:numCache>
                <c:formatCode>#,##0;\-#,##0;0</c:formatCode>
                <c:ptCount val="12"/>
                <c:pt idx="0">
                  <c:v>13562.270864749999</c:v>
                </c:pt>
                <c:pt idx="1">
                  <c:v>12191.89372125</c:v>
                </c:pt>
                <c:pt idx="2">
                  <c:v>14323.94781</c:v>
                </c:pt>
                <c:pt idx="3">
                  <c:v>9625.6356357500008</c:v>
                </c:pt>
                <c:pt idx="4">
                  <c:v>12607.516215999998</c:v>
                </c:pt>
                <c:pt idx="5">
                  <c:v>14464.578571</c:v>
                </c:pt>
                <c:pt idx="6" formatCode="[&gt;=10000000]#\,##\,##\,##0;[&gt;=100000]#\,##\,##0;##,##0">
                  <c:v>6391.1461387500003</c:v>
                </c:pt>
                <c:pt idx="7" formatCode="[&gt;=10000000]#\,##\,##\,##0;[&gt;=100000]#\,##\,##0;##,##0">
                  <c:v>5395</c:v>
                </c:pt>
                <c:pt idx="8" formatCode="[&gt;=10000000]#\,##\,##\,##0;[&gt;=100000]#\,##\,##0;##,##0">
                  <c:v>4618.395657</c:v>
                </c:pt>
                <c:pt idx="9" formatCode="[&gt;=10000000]#\,##\,##\,##0;[&gt;=100000]#\,##\,##0;##,##0">
                  <c:v>4432</c:v>
                </c:pt>
                <c:pt idx="10" formatCode="_(* #,##0_);_(* \(#,##0\);_(* &quot;-&quot;??_);_(@_)">
                  <c:v>4277.6000000000004</c:v>
                </c:pt>
                <c:pt idx="11" formatCode="[&gt;=10000000]#\,##\,##\,##0;[&gt;=100000]#\,##\,##0;##,##0">
                  <c:v>10055.84</c:v>
                </c:pt>
              </c:numCache>
            </c:numRef>
          </c:val>
          <c:smooth val="0"/>
          <c:extLst>
            <c:ext xmlns:c16="http://schemas.microsoft.com/office/drawing/2014/chart" uri="{C3380CC4-5D6E-409C-BE32-E72D297353CC}">
              <c16:uniqueId val="{00000002-2672-495E-942A-9D46485A2C58}"/>
            </c:ext>
          </c:extLst>
        </c:ser>
        <c:dLbls>
          <c:showLegendKey val="0"/>
          <c:showVal val="0"/>
          <c:showCatName val="0"/>
          <c:showSerName val="0"/>
          <c:showPercent val="0"/>
          <c:showBubbleSize val="0"/>
        </c:dLbls>
        <c:marker val="1"/>
        <c:smooth val="0"/>
        <c:axId val="204984944"/>
        <c:axId val="204984160"/>
      </c:lineChart>
      <c:dateAx>
        <c:axId val="43531487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35315656"/>
        <c:crosses val="autoZero"/>
        <c:auto val="1"/>
        <c:lblOffset val="100"/>
        <c:baseTimeUnit val="months"/>
      </c:dateAx>
      <c:valAx>
        <c:axId val="435315656"/>
        <c:scaling>
          <c:orientation val="minMax"/>
          <c:min val="2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35314872"/>
        <c:crosses val="autoZero"/>
        <c:crossBetween val="between"/>
      </c:valAx>
      <c:valAx>
        <c:axId val="2049841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204984944"/>
        <c:crosses val="max"/>
        <c:crossBetween val="between"/>
      </c:valAx>
      <c:dateAx>
        <c:axId val="204984944"/>
        <c:scaling>
          <c:orientation val="minMax"/>
        </c:scaling>
        <c:delete val="1"/>
        <c:axPos val="b"/>
        <c:numFmt formatCode="[$-409]mmm\-yy" sourceLinked="1"/>
        <c:majorTickMark val="out"/>
        <c:minorTickMark val="none"/>
        <c:tickLblPos val="nextTo"/>
        <c:crossAx val="204984160"/>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IRD!$B$2</c:f>
              <c:strCache>
                <c:ptCount val="1"/>
                <c:pt idx="0">
                  <c:v>BSE</c:v>
                </c:pt>
              </c:strCache>
            </c:strRef>
          </c:tx>
          <c:spPr>
            <a:ln w="28575" cap="rnd">
              <a:solidFill>
                <a:schemeClr val="accent6"/>
              </a:solidFill>
              <a:round/>
            </a:ln>
            <a:effectLst/>
          </c:spPr>
          <c:marker>
            <c:symbol val="none"/>
          </c:marker>
          <c:cat>
            <c:numRef>
              <c:f>IRD!$A$6:$A$17</c:f>
              <c:numCache>
                <c:formatCode>[$-409]mmm\-yy</c:formatCode>
                <c:ptCount val="12"/>
                <c:pt idx="0">
                  <c:v>44206</c:v>
                </c:pt>
                <c:pt idx="1">
                  <c:v>44237</c:v>
                </c:pt>
                <c:pt idx="2">
                  <c:v>44265</c:v>
                </c:pt>
                <c:pt idx="3">
                  <c:v>44296</c:v>
                </c:pt>
                <c:pt idx="4">
                  <c:v>44317</c:v>
                </c:pt>
                <c:pt idx="5">
                  <c:v>44348</c:v>
                </c:pt>
                <c:pt idx="6">
                  <c:v>44379</c:v>
                </c:pt>
                <c:pt idx="7">
                  <c:v>44410</c:v>
                </c:pt>
                <c:pt idx="8">
                  <c:v>44441</c:v>
                </c:pt>
                <c:pt idx="9">
                  <c:v>44471</c:v>
                </c:pt>
                <c:pt idx="10">
                  <c:v>44501</c:v>
                </c:pt>
                <c:pt idx="11">
                  <c:v>44531</c:v>
                </c:pt>
              </c:numCache>
            </c:numRef>
          </c:cat>
          <c:val>
            <c:numRef>
              <c:f>IRD!$B$6:$B$17</c:f>
              <c:numCache>
                <c:formatCode>#,##0;\-#,##0;0</c:formatCode>
                <c:ptCount val="12"/>
                <c:pt idx="0">
                  <c:v>1100.9360999999999</c:v>
                </c:pt>
                <c:pt idx="1">
                  <c:v>5520.3626999999997</c:v>
                </c:pt>
                <c:pt idx="2">
                  <c:v>14649.4748</c:v>
                </c:pt>
                <c:pt idx="3">
                  <c:v>155.46360000000001</c:v>
                </c:pt>
                <c:pt idx="4">
                  <c:v>2276.2072000000003</c:v>
                </c:pt>
                <c:pt idx="5">
                  <c:v>3124.1062999999999</c:v>
                </c:pt>
                <c:pt idx="6" formatCode="_(* #,##0_);_(* \(#,##0\);_(* &quot;-&quot;??_);_(@_)">
                  <c:v>2288.64</c:v>
                </c:pt>
                <c:pt idx="7" formatCode="_(* #,##0_);_(* \(#,##0\);_(* &quot;-&quot;??_);_(@_)">
                  <c:v>3833</c:v>
                </c:pt>
                <c:pt idx="8" formatCode="_(* #,##0_);_(* \(#,##0\);_(* &quot;-&quot;??_);_(@_)">
                  <c:v>4252</c:v>
                </c:pt>
                <c:pt idx="9" formatCode="_(* #,##0_);_(* \(#,##0\);_(* &quot;-&quot;??_);_(@_)">
                  <c:v>3297.4011000000005</c:v>
                </c:pt>
                <c:pt idx="10" formatCode="_(* #,##0_);_(* \(#,##0\);_(* &quot;-&quot;??_);_(@_)">
                  <c:v>2277</c:v>
                </c:pt>
                <c:pt idx="11" formatCode="_(* #,##0_);_(* \(#,##0\);_(* &quot;-&quot;??_);_(@_)">
                  <c:v>2030.91</c:v>
                </c:pt>
              </c:numCache>
            </c:numRef>
          </c:val>
          <c:smooth val="0"/>
          <c:extLst>
            <c:ext xmlns:c16="http://schemas.microsoft.com/office/drawing/2014/chart" uri="{C3380CC4-5D6E-409C-BE32-E72D297353CC}">
              <c16:uniqueId val="{00000000-E9CE-4B58-AB90-240E755DDB6B}"/>
            </c:ext>
          </c:extLst>
        </c:ser>
        <c:ser>
          <c:idx val="1"/>
          <c:order val="1"/>
          <c:tx>
            <c:strRef>
              <c:f>IRD!$C$2</c:f>
              <c:strCache>
                <c:ptCount val="1"/>
                <c:pt idx="0">
                  <c:v>NSE</c:v>
                </c:pt>
              </c:strCache>
            </c:strRef>
          </c:tx>
          <c:spPr>
            <a:ln w="28575" cap="rnd">
              <a:solidFill>
                <a:schemeClr val="accent5"/>
              </a:solidFill>
              <a:round/>
            </a:ln>
            <a:effectLst/>
          </c:spPr>
          <c:marker>
            <c:symbol val="none"/>
          </c:marker>
          <c:cat>
            <c:numRef>
              <c:f>IRD!$A$6:$A$17</c:f>
              <c:numCache>
                <c:formatCode>[$-409]mmm\-yy</c:formatCode>
                <c:ptCount val="12"/>
                <c:pt idx="0">
                  <c:v>44206</c:v>
                </c:pt>
                <c:pt idx="1">
                  <c:v>44237</c:v>
                </c:pt>
                <c:pt idx="2">
                  <c:v>44265</c:v>
                </c:pt>
                <c:pt idx="3">
                  <c:v>44296</c:v>
                </c:pt>
                <c:pt idx="4">
                  <c:v>44317</c:v>
                </c:pt>
                <c:pt idx="5">
                  <c:v>44348</c:v>
                </c:pt>
                <c:pt idx="6">
                  <c:v>44379</c:v>
                </c:pt>
                <c:pt idx="7">
                  <c:v>44410</c:v>
                </c:pt>
                <c:pt idx="8">
                  <c:v>44441</c:v>
                </c:pt>
                <c:pt idx="9">
                  <c:v>44471</c:v>
                </c:pt>
                <c:pt idx="10">
                  <c:v>44501</c:v>
                </c:pt>
                <c:pt idx="11">
                  <c:v>44531</c:v>
                </c:pt>
              </c:numCache>
            </c:numRef>
          </c:cat>
          <c:val>
            <c:numRef>
              <c:f>IRD!$C$6:$C$17</c:f>
              <c:numCache>
                <c:formatCode>#,##0;\-#,##0;0</c:formatCode>
                <c:ptCount val="12"/>
                <c:pt idx="0">
                  <c:v>4093.5442204999999</c:v>
                </c:pt>
                <c:pt idx="1">
                  <c:v>6734.7814850000004</c:v>
                </c:pt>
                <c:pt idx="2">
                  <c:v>4389.8273959999997</c:v>
                </c:pt>
                <c:pt idx="3">
                  <c:v>2364.85</c:v>
                </c:pt>
                <c:pt idx="4">
                  <c:v>2810.9</c:v>
                </c:pt>
                <c:pt idx="5">
                  <c:v>1965.78</c:v>
                </c:pt>
                <c:pt idx="6" formatCode="_(* #,##0_);_(* \(#,##0\);_(* &quot;-&quot;??_);_(@_)">
                  <c:v>2141</c:v>
                </c:pt>
                <c:pt idx="7" formatCode="_(* #,##0_);_(* \(#,##0\);_(* &quot;-&quot;??_);_(@_)">
                  <c:v>1569</c:v>
                </c:pt>
                <c:pt idx="8" formatCode="_(* #,##0_);_(* \(#,##0\);_(* &quot;-&quot;??_);_(@_)">
                  <c:v>1971</c:v>
                </c:pt>
                <c:pt idx="9" formatCode="_(* #,##0_);_(* \(#,##0\);_(* &quot;-&quot;??_);_(@_)">
                  <c:v>2279.9407679999995</c:v>
                </c:pt>
                <c:pt idx="10" formatCode="_(* #,##0_);_(* \(#,##0\);_(* &quot;-&quot;??_);_(@_)">
                  <c:v>1603</c:v>
                </c:pt>
                <c:pt idx="11" formatCode="_(* #,##0_);_(* \(#,##0\);_(* &quot;-&quot;??_);_(@_)">
                  <c:v>1757.03</c:v>
                </c:pt>
              </c:numCache>
            </c:numRef>
          </c:val>
          <c:smooth val="0"/>
          <c:extLst>
            <c:ext xmlns:c16="http://schemas.microsoft.com/office/drawing/2014/chart" uri="{C3380CC4-5D6E-409C-BE32-E72D297353CC}">
              <c16:uniqueId val="{00000001-E9CE-4B58-AB90-240E755DDB6B}"/>
            </c:ext>
          </c:extLst>
        </c:ser>
        <c:dLbls>
          <c:showLegendKey val="0"/>
          <c:showVal val="0"/>
          <c:showCatName val="0"/>
          <c:showSerName val="0"/>
          <c:showPercent val="0"/>
          <c:showBubbleSize val="0"/>
        </c:dLbls>
        <c:smooth val="0"/>
        <c:axId val="208125008"/>
        <c:axId val="562170768"/>
      </c:lineChart>
      <c:dateAx>
        <c:axId val="20812500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170768"/>
        <c:crosses val="autoZero"/>
        <c:auto val="1"/>
        <c:lblOffset val="100"/>
        <c:baseTimeUnit val="months"/>
      </c:dateAx>
      <c:valAx>
        <c:axId val="5621707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208125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Corpdebt!$B$23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Corpdebt!$A$24:$A$40</c15:sqref>
                  </c15:fullRef>
                </c:ext>
              </c:extLst>
              <c:f>Corpdebt!$A$29:$A$40</c:f>
              <c:strCache>
                <c:ptCount val="12"/>
                <c:pt idx="0">
                  <c:v>Jan-21</c:v>
                </c:pt>
                <c:pt idx="1">
                  <c:v>Feb-21</c:v>
                </c:pt>
                <c:pt idx="2">
                  <c:v>Mar-21</c:v>
                </c:pt>
                <c:pt idx="3">
                  <c:v>Apr-21</c:v>
                </c:pt>
                <c:pt idx="4">
                  <c:v>May-21</c:v>
                </c:pt>
                <c:pt idx="5">
                  <c:v>Jun-21</c:v>
                </c:pt>
                <c:pt idx="6">
                  <c:v>Jul-21</c:v>
                </c:pt>
                <c:pt idx="7">
                  <c:v>Aug-21</c:v>
                </c:pt>
                <c:pt idx="8">
                  <c:v>Sep-21</c:v>
                </c:pt>
                <c:pt idx="9">
                  <c:v>Oct-21</c:v>
                </c:pt>
                <c:pt idx="10">
                  <c:v>Nov-21</c:v>
                </c:pt>
                <c:pt idx="11">
                  <c:v>Dec-21</c:v>
                </c:pt>
              </c:strCache>
            </c:strRef>
          </c:cat>
          <c:val>
            <c:numRef>
              <c:extLst>
                <c:ext xmlns:c15="http://schemas.microsoft.com/office/drawing/2012/chart" uri="{02D57815-91ED-43cb-92C2-25804820EDAC}">
                  <c15:fullRef>
                    <c15:sqref>Corpdebt!$B$24:$B$40</c15:sqref>
                  </c15:fullRef>
                </c:ext>
              </c:extLst>
              <c:f>Corpdebt!$B$29:$B$40</c:f>
              <c:numCache>
                <c:formatCode>#,##0;\-#,##0;0</c:formatCode>
                <c:ptCount val="12"/>
                <c:pt idx="0">
                  <c:v>48384.845524290002</c:v>
                </c:pt>
                <c:pt idx="1">
                  <c:v>43534.32</c:v>
                </c:pt>
                <c:pt idx="2">
                  <c:v>64043.87</c:v>
                </c:pt>
                <c:pt idx="3">
                  <c:v>60888.553099999997</c:v>
                </c:pt>
                <c:pt idx="4">
                  <c:v>54135.76</c:v>
                </c:pt>
                <c:pt idx="5">
                  <c:v>61390.57</c:v>
                </c:pt>
                <c:pt idx="6">
                  <c:v>48404.689310000002</c:v>
                </c:pt>
                <c:pt idx="7">
                  <c:v>55957.11</c:v>
                </c:pt>
                <c:pt idx="8">
                  <c:v>63765.96701</c:v>
                </c:pt>
                <c:pt idx="9">
                  <c:v>49075.25</c:v>
                </c:pt>
                <c:pt idx="10">
                  <c:v>39177.12846</c:v>
                </c:pt>
                <c:pt idx="11">
                  <c:v>51214.41</c:v>
                </c:pt>
              </c:numCache>
            </c:numRef>
          </c:val>
          <c:extLst xmlns:c15="http://schemas.microsoft.com/office/drawing/2012/chart">
            <c:ext xmlns:c16="http://schemas.microsoft.com/office/drawing/2014/chart" uri="{C3380CC4-5D6E-409C-BE32-E72D297353CC}">
              <c16:uniqueId val="{00000000-5095-42E3-9919-8F8C1FC41D7E}"/>
            </c:ext>
          </c:extLst>
        </c:ser>
        <c:ser>
          <c:idx val="1"/>
          <c:order val="1"/>
          <c:tx>
            <c:strRef>
              <c:f>Corpdebt!$C$23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Corpdebt!$A$24:$A$40</c15:sqref>
                  </c15:fullRef>
                </c:ext>
              </c:extLst>
              <c:f>Corpdebt!$A$29:$A$40</c:f>
              <c:strCache>
                <c:ptCount val="12"/>
                <c:pt idx="0">
                  <c:v>Jan-21</c:v>
                </c:pt>
                <c:pt idx="1">
                  <c:v>Feb-21</c:v>
                </c:pt>
                <c:pt idx="2">
                  <c:v>Mar-21</c:v>
                </c:pt>
                <c:pt idx="3">
                  <c:v>Apr-21</c:v>
                </c:pt>
                <c:pt idx="4">
                  <c:v>May-21</c:v>
                </c:pt>
                <c:pt idx="5">
                  <c:v>Jun-21</c:v>
                </c:pt>
                <c:pt idx="6">
                  <c:v>Jul-21</c:v>
                </c:pt>
                <c:pt idx="7">
                  <c:v>Aug-21</c:v>
                </c:pt>
                <c:pt idx="8">
                  <c:v>Sep-21</c:v>
                </c:pt>
                <c:pt idx="9">
                  <c:v>Oct-21</c:v>
                </c:pt>
                <c:pt idx="10">
                  <c:v>Nov-21</c:v>
                </c:pt>
                <c:pt idx="11">
                  <c:v>Dec-21</c:v>
                </c:pt>
              </c:strCache>
            </c:strRef>
          </c:cat>
          <c:val>
            <c:numRef>
              <c:extLst>
                <c:ext xmlns:c15="http://schemas.microsoft.com/office/drawing/2012/chart" uri="{02D57815-91ED-43cb-92C2-25804820EDAC}">
                  <c15:fullRef>
                    <c15:sqref>Corpdebt!$C$24:$C$40</c15:sqref>
                  </c15:fullRef>
                </c:ext>
              </c:extLst>
              <c:f>Corpdebt!$C$29:$C$40</c:f>
              <c:numCache>
                <c:formatCode>#,##0</c:formatCode>
                <c:ptCount val="12"/>
                <c:pt idx="0">
                  <c:v>83618.37999999999</c:v>
                </c:pt>
                <c:pt idx="1">
                  <c:v>75565.039999999994</c:v>
                </c:pt>
                <c:pt idx="2">
                  <c:v>95400.379999999976</c:v>
                </c:pt>
                <c:pt idx="3" formatCode="#,##0;\-#,##0;0">
                  <c:v>90992.76</c:v>
                </c:pt>
                <c:pt idx="4" formatCode="#,##0;\-#,##0;0">
                  <c:v>79923.94</c:v>
                </c:pt>
                <c:pt idx="5" formatCode="#,##0;\-#,##0;0">
                  <c:v>91924.45</c:v>
                </c:pt>
                <c:pt idx="6" formatCode="#,##0;\-#,##0;0">
                  <c:v>66672.289999999994</c:v>
                </c:pt>
                <c:pt idx="7" formatCode="#,##0;\-#,##0;0">
                  <c:v>88259.38</c:v>
                </c:pt>
                <c:pt idx="8" formatCode="0\,00\,000;\-0\,00\,000;0">
                  <c:v>126974.72</c:v>
                </c:pt>
                <c:pt idx="9" formatCode="#,##0;\-#,##0;0">
                  <c:v>97201.37</c:v>
                </c:pt>
                <c:pt idx="10" formatCode="#,##0;\-#,##0;0">
                  <c:v>71902.03</c:v>
                </c:pt>
                <c:pt idx="11" formatCode="#,##0;\-#,##0;0">
                  <c:v>94733.69</c:v>
                </c:pt>
              </c:numCache>
            </c:numRef>
          </c:val>
          <c:extLst>
            <c:ext xmlns:c16="http://schemas.microsoft.com/office/drawing/2014/chart" uri="{C3380CC4-5D6E-409C-BE32-E72D297353CC}">
              <c16:uniqueId val="{00000001-5095-42E3-9919-8F8C1FC41D7E}"/>
            </c:ext>
          </c:extLst>
        </c:ser>
        <c:dLbls>
          <c:showLegendKey val="0"/>
          <c:showVal val="0"/>
          <c:showCatName val="0"/>
          <c:showSerName val="0"/>
          <c:showPercent val="0"/>
          <c:showBubbleSize val="0"/>
        </c:dLbls>
        <c:gapWidth val="219"/>
        <c:overlap val="-27"/>
        <c:axId val="589922752"/>
        <c:axId val="589923144"/>
        <c:extLst>
          <c:ext xmlns:c15="http://schemas.microsoft.com/office/drawing/2012/chart" uri="{02D57815-91ED-43cb-92C2-25804820EDAC}">
            <c15:filteredBarSeries>
              <c15:ser>
                <c:idx val="2"/>
                <c:order val="2"/>
                <c:tx>
                  <c:strRef>
                    <c:extLst>
                      <c:ext uri="{02D57815-91ED-43cb-92C2-25804820EDAC}">
                        <c15:formulaRef>
                          <c15:sqref>Corpdebt!$D$23</c15:sqref>
                        </c15:formulaRef>
                      </c:ext>
                    </c:extLst>
                    <c:strCache>
                      <c:ptCount val="1"/>
                      <c:pt idx="0">
                        <c:v>Total</c:v>
                      </c:pt>
                    </c:strCache>
                  </c:strRef>
                </c:tx>
                <c:spPr>
                  <a:solidFill>
                    <a:schemeClr val="accent3"/>
                  </a:solidFill>
                  <a:ln>
                    <a:noFill/>
                  </a:ln>
                  <a:effectLst/>
                </c:spPr>
                <c:invertIfNegative val="0"/>
                <c:cat>
                  <c:strRef>
                    <c:extLst>
                      <c:ext uri="{02D57815-91ED-43cb-92C2-25804820EDAC}">
                        <c15:fullRef>
                          <c15:sqref>Corpdebt!$A$24:$A$40</c15:sqref>
                        </c15:fullRef>
                        <c15:formulaRef>
                          <c15:sqref>Corpdebt!$A$29:$A$40</c15:sqref>
                        </c15:formulaRef>
                      </c:ext>
                    </c:extLst>
                    <c:strCache>
                      <c:ptCount val="12"/>
                      <c:pt idx="0">
                        <c:v>Jan-21</c:v>
                      </c:pt>
                      <c:pt idx="1">
                        <c:v>Feb-21</c:v>
                      </c:pt>
                      <c:pt idx="2">
                        <c:v>Mar-21</c:v>
                      </c:pt>
                      <c:pt idx="3">
                        <c:v>Apr-21</c:v>
                      </c:pt>
                      <c:pt idx="4">
                        <c:v>May-21</c:v>
                      </c:pt>
                      <c:pt idx="5">
                        <c:v>Jun-21</c:v>
                      </c:pt>
                      <c:pt idx="6">
                        <c:v>Jul-21</c:v>
                      </c:pt>
                      <c:pt idx="7">
                        <c:v>Aug-21</c:v>
                      </c:pt>
                      <c:pt idx="8">
                        <c:v>Sep-21</c:v>
                      </c:pt>
                      <c:pt idx="9">
                        <c:v>Oct-21</c:v>
                      </c:pt>
                      <c:pt idx="10">
                        <c:v>Nov-21</c:v>
                      </c:pt>
                      <c:pt idx="11">
                        <c:v>Dec-21</c:v>
                      </c:pt>
                    </c:strCache>
                  </c:strRef>
                </c:cat>
                <c:val>
                  <c:numRef>
                    <c:extLst>
                      <c:ext uri="{02D57815-91ED-43cb-92C2-25804820EDAC}">
                        <c15:fullRef>
                          <c15:sqref>Corpdebt!$D$24:$D$40</c15:sqref>
                        </c15:fullRef>
                        <c15:formulaRef>
                          <c15:sqref>Corpdebt!$D$29:$D$40</c15:sqref>
                        </c15:formulaRef>
                      </c:ext>
                    </c:extLst>
                    <c:numCache>
                      <c:formatCode>#,##0</c:formatCode>
                      <c:ptCount val="12"/>
                      <c:pt idx="0">
                        <c:v>132003.22552429</c:v>
                      </c:pt>
                      <c:pt idx="1">
                        <c:v>119099.35999999999</c:v>
                      </c:pt>
                      <c:pt idx="2">
                        <c:v>159444.24999999997</c:v>
                      </c:pt>
                      <c:pt idx="3" formatCode="0\,00\,000;\-0\,00\,000;0">
                        <c:v>151881.3131</c:v>
                      </c:pt>
                      <c:pt idx="4" formatCode="0\,00\,000;\-0\,00\,000;0">
                        <c:v>134059.70000000001</c:v>
                      </c:pt>
                      <c:pt idx="5" formatCode="0\,00\,000;\-0\,00\,000;0">
                        <c:v>153315.01999999999</c:v>
                      </c:pt>
                      <c:pt idx="6" formatCode="0\,00\,000;\-0\,00\,000;0">
                        <c:v>115076.97930000001</c:v>
                      </c:pt>
                      <c:pt idx="7" formatCode="0\,00\,000;\-0\,00\,000;0">
                        <c:v>144216.49</c:v>
                      </c:pt>
                      <c:pt idx="8" formatCode="0\,00\,000;\-0\,00\,000;0">
                        <c:v>190740.68700000001</c:v>
                      </c:pt>
                      <c:pt idx="9" formatCode="0\,00\,000;\-0\,00\,000;0">
                        <c:v>146276.62</c:v>
                      </c:pt>
                      <c:pt idx="10" formatCode="0\,00\,000;\-0\,00\,000;0">
                        <c:v>111079.15850000001</c:v>
                      </c:pt>
                      <c:pt idx="11" formatCode="#,##0;\-#,##0;0">
                        <c:v>145948.1</c:v>
                      </c:pt>
                    </c:numCache>
                  </c:numRef>
                </c:val>
                <c:extLst>
                  <c:ext xmlns:c16="http://schemas.microsoft.com/office/drawing/2014/chart" uri="{C3380CC4-5D6E-409C-BE32-E72D297353CC}">
                    <c16:uniqueId val="{00000002-5095-42E3-9919-8F8C1FC41D7E}"/>
                  </c:ext>
                </c:extLst>
              </c15:ser>
            </c15:filteredBarSeries>
          </c:ext>
        </c:extLst>
      </c:barChart>
      <c:catAx>
        <c:axId val="58992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89923144"/>
        <c:crosses val="autoZero"/>
        <c:auto val="1"/>
        <c:lblAlgn val="ctr"/>
        <c:lblOffset val="100"/>
        <c:noMultiLvlLbl val="1"/>
      </c:catAx>
      <c:valAx>
        <c:axId val="589923144"/>
        <c:scaling>
          <c:orientation val="minMax"/>
          <c:min val="30000"/>
        </c:scaling>
        <c:delete val="1"/>
        <c:axPos val="l"/>
        <c:numFmt formatCode="#,##0;\-#,##0;0" sourceLinked="1"/>
        <c:majorTickMark val="none"/>
        <c:minorTickMark val="none"/>
        <c:tickLblPos val="nextTo"/>
        <c:crossAx val="589922752"/>
        <c:crosses val="autoZero"/>
        <c:crossBetween val="between"/>
      </c:valAx>
      <c:spPr>
        <a:noFill/>
        <a:ln>
          <a:solidFill>
            <a:sysClr val="window" lastClr="FFFFFF">
              <a:lumMod val="75000"/>
            </a:sys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2.xml>
</file>

<file path=customXml/item3.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4.xml>
</file>

<file path=customXml/item5.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6.xml>
</file>

<file path=customXml/item7.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3C77-5EBC-46F2-AC21-5D702358D3EF}">
  <ds:schemaRefs/>
</ds:datastoreItem>
</file>

<file path=customXml/itemProps2.xml><?xml version="1.0" encoding="utf-8"?>
<ds:datastoreItem xmlns:ds="http://schemas.openxmlformats.org/officeDocument/2006/customXml" ds:itemID="{FFFCDC47-2152-406C-A3E3-98A02192763B}"/>
</file>

<file path=customXml/itemProps3.xml><?xml version="1.0" encoding="utf-8"?>
<ds:datastoreItem xmlns:ds="http://schemas.openxmlformats.org/officeDocument/2006/customXml" ds:itemID="{2C38164C-8094-471D-AC2C-77D018C8E0F2}">
  <ds:schemaRefs/>
</ds:datastoreItem>
</file>

<file path=customXml/itemProps4.xml><?xml version="1.0" encoding="utf-8"?>
<ds:datastoreItem xmlns:ds="http://schemas.openxmlformats.org/officeDocument/2006/customXml" ds:itemID="{8A5DE7B4-0207-485C-AD2D-76752FDBC33F}"/>
</file>

<file path=customXml/itemProps5.xml><?xml version="1.0" encoding="utf-8"?>
<ds:datastoreItem xmlns:ds="http://schemas.openxmlformats.org/officeDocument/2006/customXml" ds:itemID="{982F008C-5608-4977-B1FB-BF780A09BDC2}">
  <ds:schemaRefs/>
</ds:datastoreItem>
</file>

<file path=customXml/itemProps6.xml><?xml version="1.0" encoding="utf-8"?>
<ds:datastoreItem xmlns:ds="http://schemas.openxmlformats.org/officeDocument/2006/customXml" ds:itemID="{F1A90E88-F8CE-47CC-B1F2-2802B9D4F2FE}"/>
</file>

<file path=customXml/itemProps7.xml><?xml version="1.0" encoding="utf-8"?>
<ds:datastoreItem xmlns:ds="http://schemas.openxmlformats.org/officeDocument/2006/customXml" ds:itemID="{AC874CF5-52D4-4685-80EC-6F1B86646A89}">
  <ds:schemaRefs/>
</ds:datastoreItem>
</file>

<file path=customXml/itemProps8.xml><?xml version="1.0" encoding="utf-8"?>
<ds:datastoreItem xmlns:ds="http://schemas.openxmlformats.org/officeDocument/2006/customXml" ds:itemID="{0A55B317-EC13-4822-9F50-44397496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17111</Words>
  <Characters>97535</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114418</CharactersWithSpaces>
  <SharedDoc>false</SharedDoc>
  <HLinks>
    <vt:vector size="36" baseType="variant">
      <vt:variant>
        <vt:i4>7274592</vt:i4>
      </vt:variant>
      <vt:variant>
        <vt:i4>18</vt:i4>
      </vt:variant>
      <vt:variant>
        <vt:i4>0</vt:i4>
      </vt:variant>
      <vt:variant>
        <vt:i4>5</vt:i4>
      </vt:variant>
      <vt:variant>
        <vt:lpwstr>https://www.sebi.gov.in/reports-and-statistics.html</vt:lpwstr>
      </vt:variant>
      <vt:variant>
        <vt:lpwstr/>
      </vt:variant>
      <vt:variant>
        <vt:i4>2883626</vt:i4>
      </vt:variant>
      <vt:variant>
        <vt:i4>15</vt:i4>
      </vt:variant>
      <vt:variant>
        <vt:i4>0</vt:i4>
      </vt:variant>
      <vt:variant>
        <vt:i4>5</vt:i4>
      </vt:variant>
      <vt:variant>
        <vt:lpwstr>https://www.iosco.org/news/pdf/IOSCONEWS629.pdf</vt:lpwstr>
      </vt:variant>
      <vt:variant>
        <vt:lpwstr/>
      </vt:variant>
      <vt:variant>
        <vt:i4>3276858</vt:i4>
      </vt:variant>
      <vt:variant>
        <vt:i4>12</vt:i4>
      </vt:variant>
      <vt:variant>
        <vt:i4>0</vt:i4>
      </vt:variant>
      <vt:variant>
        <vt:i4>5</vt:i4>
      </vt:variant>
      <vt:variant>
        <vt:lpwstr>https://www.fca.org.uk/</vt:lpwstr>
      </vt:variant>
      <vt:variant>
        <vt:lpwstr/>
      </vt:variant>
      <vt:variant>
        <vt:i4>3342444</vt:i4>
      </vt:variant>
      <vt:variant>
        <vt:i4>9</vt:i4>
      </vt:variant>
      <vt:variant>
        <vt:i4>0</vt:i4>
      </vt:variant>
      <vt:variant>
        <vt:i4>5</vt:i4>
      </vt:variant>
      <vt:variant>
        <vt:lpwstr>https://www.sec.gov/news/pressreleases</vt:lpwstr>
      </vt:variant>
      <vt:variant>
        <vt:lpwstr/>
      </vt:variant>
      <vt:variant>
        <vt:i4>5505079</vt:i4>
      </vt:variant>
      <vt:variant>
        <vt:i4>3</vt:i4>
      </vt:variant>
      <vt:variant>
        <vt:i4>0</vt:i4>
      </vt:variant>
      <vt:variant>
        <vt:i4>5</vt:i4>
      </vt:variant>
      <vt:variant>
        <vt:lpwstr>mailto:bulletin@sebi.gov.in</vt:lpwstr>
      </vt:variant>
      <vt:variant>
        <vt:lpwstr/>
      </vt:variant>
      <vt:variant>
        <vt:i4>7274592</vt:i4>
      </vt:variant>
      <vt:variant>
        <vt:i4>0</vt:i4>
      </vt:variant>
      <vt:variant>
        <vt:i4>0</vt:i4>
      </vt:variant>
      <vt:variant>
        <vt:i4>5</vt:i4>
      </vt:variant>
      <vt:variant>
        <vt:lpwstr>https://www.sebi.gov.in/reports-and-statistics.html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DEEPTHI S</dc:creator>
  <cp:keywords/>
  <dc:description/>
  <cp:lastModifiedBy>VINOD KUMARI</cp:lastModifiedBy>
  <cp:revision>2</cp:revision>
  <cp:lastPrinted>2021-09-22T10:08:00Z</cp:lastPrinted>
  <dcterms:created xsi:type="dcterms:W3CDTF">2022-01-27T05:06:00Z</dcterms:created>
  <dcterms:modified xsi:type="dcterms:W3CDTF">2022-01-27T05:06:00Z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